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A8A8E">
      <w:pPr>
        <w:spacing w:line="85" w:lineRule="exact"/>
      </w:pPr>
    </w:p>
    <w:p w14:paraId="57632818">
      <w:pPr>
        <w:spacing w:line="85" w:lineRule="exact"/>
        <w:sectPr>
          <w:pgSz w:w="11907" w:h="16839"/>
          <w:pgMar w:top="1431" w:right="570" w:bottom="0" w:left="1432" w:header="0" w:footer="0" w:gutter="0"/>
          <w:pgNumType w:fmt="decimal"/>
          <w:cols w:equalWidth="0" w:num="1">
            <w:col w:w="9903"/>
          </w:cols>
        </w:sectPr>
      </w:pPr>
    </w:p>
    <w:p w14:paraId="650132FE">
      <w:pPr>
        <w:pStyle w:val="3"/>
        <w:spacing w:before="162" w:line="12869" w:lineRule="exact"/>
      </w:pPr>
      <w:r>
        <w:rPr>
          <w:position w:val="-257"/>
        </w:rPr>
        <w:pict>
          <v:shape id="_x0000_s1026" o:spid="_x0000_s1026" o:spt="202" type="#_x0000_t202" style="height:643.45pt;width:124.2pt;" fillcolor="#FF0000" filled="t" stroked="f" coordsize="21600,21600">
            <v:path/>
            <v:fill on="t" focussize="0,0"/>
            <v:stroke on="f"/>
            <v:imagedata o:title=""/>
            <o:lock v:ext="edit" aspectratio="f"/>
            <v:textbox inset="0mm,0mm,0mm,0mm" style="layout-flow:vertical-ideographic;">
              <w:txbxContent>
                <w:p w14:paraId="3E9885F4">
                  <w:pPr>
                    <w:spacing w:line="242" w:lineRule="auto"/>
                    <w:rPr>
                      <w:rFonts w:ascii="Arial"/>
                      <w:sz w:val="21"/>
                    </w:rPr>
                  </w:pPr>
                </w:p>
                <w:p w14:paraId="107C804A">
                  <w:pPr>
                    <w:spacing w:line="242" w:lineRule="auto"/>
                    <w:rPr>
                      <w:rFonts w:ascii="Arial"/>
                      <w:sz w:val="21"/>
                    </w:rPr>
                  </w:pPr>
                </w:p>
                <w:p w14:paraId="48CA589D">
                  <w:pPr>
                    <w:spacing w:before="389" w:line="180" w:lineRule="auto"/>
                    <w:ind w:left="878"/>
                    <w:rPr>
                      <w:rFonts w:ascii="微软雅黑" w:hAnsi="微软雅黑" w:eastAsia="微软雅黑" w:cs="微软雅黑"/>
                      <w:sz w:val="88"/>
                      <w:szCs w:val="88"/>
                    </w:rPr>
                  </w:pPr>
                  <w:bookmarkStart w:id="11" w:name="bookmark1"/>
                  <w:bookmarkEnd w:id="11"/>
                  <w:r>
                    <w:rPr>
                      <w:rFonts w:ascii="微软雅黑" w:hAnsi="微软雅黑" w:eastAsia="微软雅黑" w:cs="微软雅黑"/>
                      <w:b/>
                      <w:bCs/>
                      <w:color w:val="FFFFFF"/>
                      <w:spacing w:val="4"/>
                      <w:sz w:val="88"/>
                      <w:szCs w:val="88"/>
                    </w:rPr>
                    <w:t>理</w:t>
                  </w:r>
                  <w:r>
                    <w:rPr>
                      <w:rFonts w:ascii="微软雅黑" w:hAnsi="微软雅黑" w:eastAsia="微软雅黑" w:cs="微软雅黑"/>
                      <w:b/>
                      <w:bCs/>
                      <w:color w:val="FFFFFF"/>
                      <w:spacing w:val="194"/>
                      <w:sz w:val="88"/>
                      <w:szCs w:val="88"/>
                    </w:rPr>
                    <w:t xml:space="preserve"> </w:t>
                  </w:r>
                  <w:r>
                    <w:rPr>
                      <w:rFonts w:ascii="微软雅黑" w:hAnsi="微软雅黑" w:eastAsia="微软雅黑" w:cs="微软雅黑"/>
                      <w:b/>
                      <w:bCs/>
                      <w:color w:val="FFFFFF"/>
                      <w:spacing w:val="4"/>
                      <w:sz w:val="88"/>
                      <w:szCs w:val="88"/>
                    </w:rPr>
                    <w:t>论</w:t>
                  </w:r>
                  <w:r>
                    <w:rPr>
                      <w:rFonts w:ascii="微软雅黑" w:hAnsi="微软雅黑" w:eastAsia="微软雅黑" w:cs="微软雅黑"/>
                      <w:b/>
                      <w:bCs/>
                      <w:color w:val="FFFFFF"/>
                      <w:spacing w:val="147"/>
                      <w:sz w:val="88"/>
                      <w:szCs w:val="88"/>
                    </w:rPr>
                    <w:t xml:space="preserve"> </w:t>
                  </w:r>
                  <w:r>
                    <w:rPr>
                      <w:rFonts w:ascii="微软雅黑" w:hAnsi="微软雅黑" w:eastAsia="微软雅黑" w:cs="微软雅黑"/>
                      <w:b/>
                      <w:bCs/>
                      <w:color w:val="FFFFFF"/>
                      <w:spacing w:val="4"/>
                      <w:sz w:val="88"/>
                      <w:szCs w:val="88"/>
                    </w:rPr>
                    <w:t>中</w:t>
                  </w:r>
                  <w:r>
                    <w:rPr>
                      <w:rFonts w:ascii="微软雅黑" w:hAnsi="微软雅黑" w:eastAsia="微软雅黑" w:cs="微软雅黑"/>
                      <w:b/>
                      <w:bCs/>
                      <w:color w:val="FFFFFF"/>
                      <w:spacing w:val="164"/>
                      <w:sz w:val="88"/>
                      <w:szCs w:val="88"/>
                    </w:rPr>
                    <w:t xml:space="preserve"> </w:t>
                  </w:r>
                  <w:r>
                    <w:rPr>
                      <w:rFonts w:ascii="微软雅黑" w:hAnsi="微软雅黑" w:eastAsia="微软雅黑" w:cs="微软雅黑"/>
                      <w:b/>
                      <w:bCs/>
                      <w:color w:val="FFFFFF"/>
                      <w:spacing w:val="4"/>
                      <w:sz w:val="88"/>
                      <w:szCs w:val="88"/>
                    </w:rPr>
                    <w:t>心</w:t>
                  </w:r>
                  <w:r>
                    <w:rPr>
                      <w:rFonts w:ascii="微软雅黑" w:hAnsi="微软雅黑" w:eastAsia="微软雅黑" w:cs="微软雅黑"/>
                      <w:b/>
                      <w:bCs/>
                      <w:color w:val="FFFFFF"/>
                      <w:spacing w:val="141"/>
                      <w:sz w:val="88"/>
                      <w:szCs w:val="88"/>
                    </w:rPr>
                    <w:t xml:space="preserve"> </w:t>
                  </w:r>
                  <w:r>
                    <w:rPr>
                      <w:rFonts w:ascii="微软雅黑" w:hAnsi="微软雅黑" w:eastAsia="微软雅黑" w:cs="微软雅黑"/>
                      <w:b/>
                      <w:bCs/>
                      <w:color w:val="FFFFFF"/>
                      <w:spacing w:val="4"/>
                      <w:sz w:val="88"/>
                      <w:szCs w:val="88"/>
                    </w:rPr>
                    <w:t>组</w:t>
                  </w:r>
                  <w:r>
                    <w:rPr>
                      <w:rFonts w:ascii="微软雅黑" w:hAnsi="微软雅黑" w:eastAsia="微软雅黑" w:cs="微软雅黑"/>
                      <w:b/>
                      <w:bCs/>
                      <w:color w:val="FFFFFF"/>
                      <w:spacing w:val="160"/>
                      <w:sz w:val="88"/>
                      <w:szCs w:val="88"/>
                    </w:rPr>
                    <w:t xml:space="preserve"> </w:t>
                  </w:r>
                  <w:r>
                    <w:rPr>
                      <w:rFonts w:ascii="微软雅黑" w:hAnsi="微软雅黑" w:eastAsia="微软雅黑" w:cs="微软雅黑"/>
                      <w:b/>
                      <w:bCs/>
                      <w:color w:val="FFFFFF"/>
                      <w:spacing w:val="4"/>
                      <w:sz w:val="88"/>
                      <w:szCs w:val="88"/>
                    </w:rPr>
                    <w:t>学</w:t>
                  </w:r>
                  <w:r>
                    <w:rPr>
                      <w:rFonts w:ascii="微软雅黑" w:hAnsi="微软雅黑" w:eastAsia="微软雅黑" w:cs="微软雅黑"/>
                      <w:b/>
                      <w:bCs/>
                      <w:color w:val="FFFFFF"/>
                      <w:spacing w:val="155"/>
                      <w:sz w:val="88"/>
                      <w:szCs w:val="88"/>
                    </w:rPr>
                    <w:t xml:space="preserve"> </w:t>
                  </w:r>
                  <w:r>
                    <w:rPr>
                      <w:rFonts w:ascii="微软雅黑" w:hAnsi="微软雅黑" w:eastAsia="微软雅黑" w:cs="微软雅黑"/>
                      <w:b/>
                      <w:bCs/>
                      <w:color w:val="FFFFFF"/>
                      <w:spacing w:val="4"/>
                      <w:sz w:val="88"/>
                      <w:szCs w:val="88"/>
                    </w:rPr>
                    <w:t>习</w:t>
                  </w:r>
                  <w:r>
                    <w:rPr>
                      <w:rFonts w:ascii="微软雅黑" w:hAnsi="微软雅黑" w:eastAsia="微软雅黑" w:cs="微软雅黑"/>
                      <w:b/>
                      <w:bCs/>
                      <w:color w:val="FFFFFF"/>
                      <w:spacing w:val="140"/>
                      <w:sz w:val="88"/>
                      <w:szCs w:val="88"/>
                    </w:rPr>
                    <w:t xml:space="preserve"> </w:t>
                  </w:r>
                  <w:r>
                    <w:rPr>
                      <w:rFonts w:ascii="微软雅黑" w:hAnsi="微软雅黑" w:eastAsia="微软雅黑" w:cs="微软雅黑"/>
                      <w:b/>
                      <w:bCs/>
                      <w:color w:val="FFFFFF"/>
                      <w:spacing w:val="4"/>
                      <w:sz w:val="88"/>
                      <w:szCs w:val="88"/>
                    </w:rPr>
                    <w:t>材</w:t>
                  </w:r>
                  <w:r>
                    <w:rPr>
                      <w:rFonts w:ascii="微软雅黑" w:hAnsi="微软雅黑" w:eastAsia="微软雅黑" w:cs="微软雅黑"/>
                      <w:b/>
                      <w:bCs/>
                      <w:color w:val="FFFFFF"/>
                      <w:spacing w:val="149"/>
                      <w:sz w:val="88"/>
                      <w:szCs w:val="88"/>
                    </w:rPr>
                    <w:t xml:space="preserve"> </w:t>
                  </w:r>
                  <w:r>
                    <w:rPr>
                      <w:rFonts w:ascii="微软雅黑" w:hAnsi="微软雅黑" w:eastAsia="微软雅黑" w:cs="微软雅黑"/>
                      <w:b/>
                      <w:bCs/>
                      <w:color w:val="FFFFFF"/>
                      <w:spacing w:val="4"/>
                      <w:sz w:val="88"/>
                      <w:szCs w:val="88"/>
                    </w:rPr>
                    <w:t>料</w:t>
                  </w:r>
                </w:p>
                <w:p w14:paraId="074C7632">
                  <w:pPr>
                    <w:spacing w:before="389" w:line="180" w:lineRule="auto"/>
                    <w:ind w:left="878"/>
                    <w:rPr>
                      <w:rFonts w:ascii="微软雅黑" w:hAnsi="微软雅黑" w:eastAsia="微软雅黑" w:cs="微软雅黑"/>
                      <w:sz w:val="88"/>
                      <w:szCs w:val="88"/>
                    </w:rPr>
                  </w:pPr>
                </w:p>
                <w:p w14:paraId="75B62011">
                  <w:pPr>
                    <w:spacing w:before="388" w:line="177" w:lineRule="auto"/>
                    <w:rPr>
                      <w:rFonts w:ascii="微软雅黑" w:hAnsi="微软雅黑" w:eastAsia="微软雅黑" w:cs="微软雅黑"/>
                      <w:sz w:val="88"/>
                      <w:szCs w:val="88"/>
                    </w:rPr>
                  </w:pPr>
                </w:p>
              </w:txbxContent>
            </v:textbox>
            <w10:wrap type="none"/>
            <w10:anchorlock/>
          </v:shape>
        </w:pict>
      </w:r>
    </w:p>
    <w:p w14:paraId="794522ED">
      <w:pPr>
        <w:spacing w:line="14" w:lineRule="auto"/>
        <w:rPr>
          <w:rFonts w:ascii="Arial"/>
          <w:sz w:val="2"/>
        </w:rPr>
      </w:pPr>
      <w:r>
        <w:rPr>
          <w:rFonts w:ascii="Arial" w:hAnsi="Arial" w:eastAsia="Arial" w:cs="Arial"/>
          <w:sz w:val="2"/>
          <w:szCs w:val="2"/>
        </w:rPr>
        <w:br w:type="column"/>
      </w:r>
    </w:p>
    <w:p w14:paraId="490CE356">
      <w:pPr>
        <w:pStyle w:val="3"/>
        <w:spacing w:before="324" w:line="212" w:lineRule="auto"/>
        <w:ind w:left="1900"/>
        <w:rPr>
          <w:sz w:val="40"/>
          <w:szCs w:val="40"/>
        </w:rPr>
      </w:pPr>
      <w:r>
        <w:rPr>
          <w:spacing w:val="-28"/>
          <w:sz w:val="40"/>
          <w:szCs w:val="40"/>
        </w:rPr>
        <w:t>202</w:t>
      </w:r>
      <w:r>
        <w:rPr>
          <w:rFonts w:hint="eastAsia"/>
          <w:spacing w:val="-28"/>
          <w:sz w:val="40"/>
          <w:szCs w:val="40"/>
          <w:lang w:val="en-US" w:eastAsia="zh-CN"/>
        </w:rPr>
        <w:t>6</w:t>
      </w:r>
      <w:r>
        <w:rPr>
          <w:spacing w:val="-28"/>
          <w:sz w:val="40"/>
          <w:szCs w:val="40"/>
        </w:rPr>
        <w:t xml:space="preserve"> 年</w:t>
      </w:r>
      <w:r>
        <w:rPr>
          <w:rFonts w:hint="eastAsia"/>
          <w:spacing w:val="-28"/>
          <w:sz w:val="40"/>
          <w:szCs w:val="40"/>
          <w:lang w:val="en-US" w:eastAsia="zh-CN"/>
        </w:rPr>
        <w:t xml:space="preserve"> 4 </w:t>
      </w:r>
      <w:r>
        <w:rPr>
          <w:spacing w:val="-28"/>
          <w:sz w:val="40"/>
          <w:szCs w:val="40"/>
        </w:rPr>
        <w:t>月</w:t>
      </w:r>
      <w:r>
        <w:rPr>
          <w:rFonts w:hint="eastAsia"/>
          <w:spacing w:val="-28"/>
          <w:sz w:val="40"/>
          <w:szCs w:val="40"/>
          <w:lang w:val="en-US" w:eastAsia="zh-CN"/>
        </w:rPr>
        <w:t xml:space="preserve"> 8</w:t>
      </w:r>
      <w:r>
        <w:rPr>
          <w:spacing w:val="-28"/>
          <w:sz w:val="40"/>
          <w:szCs w:val="40"/>
        </w:rPr>
        <w:t>日</w:t>
      </w:r>
    </w:p>
    <w:p w14:paraId="780DF913">
      <w:pPr>
        <w:pStyle w:val="3"/>
        <w:spacing w:before="218" w:line="207" w:lineRule="auto"/>
        <w:ind w:left="2203"/>
        <w:rPr>
          <w:sz w:val="28"/>
          <w:szCs w:val="28"/>
        </w:rPr>
      </w:pPr>
      <w:r>
        <w:rPr>
          <w:spacing w:val="-10"/>
          <w:sz w:val="28"/>
          <w:szCs w:val="28"/>
        </w:rPr>
        <w:t>（202</w:t>
      </w:r>
      <w:r>
        <w:rPr>
          <w:rFonts w:hint="eastAsia"/>
          <w:spacing w:val="-10"/>
          <w:sz w:val="28"/>
          <w:szCs w:val="28"/>
          <w:lang w:val="en-US" w:eastAsia="zh-CN"/>
        </w:rPr>
        <w:t>6</w:t>
      </w:r>
      <w:r>
        <w:rPr>
          <w:spacing w:val="-10"/>
          <w:sz w:val="28"/>
          <w:szCs w:val="28"/>
        </w:rPr>
        <w:t xml:space="preserve"> 年</w:t>
      </w:r>
      <w:r>
        <w:rPr>
          <w:rFonts w:hint="eastAsia"/>
          <w:spacing w:val="-10"/>
          <w:sz w:val="28"/>
          <w:szCs w:val="28"/>
          <w:lang w:val="en-US" w:eastAsia="zh-CN"/>
        </w:rPr>
        <w:t xml:space="preserve"> </w:t>
      </w:r>
      <w:r>
        <w:rPr>
          <w:spacing w:val="-10"/>
          <w:sz w:val="28"/>
          <w:szCs w:val="28"/>
        </w:rPr>
        <w:t xml:space="preserve">第 </w:t>
      </w:r>
      <w:r>
        <w:rPr>
          <w:rFonts w:hint="eastAsia"/>
          <w:spacing w:val="-10"/>
          <w:sz w:val="28"/>
          <w:szCs w:val="28"/>
          <w:lang w:val="en-US" w:eastAsia="zh-CN"/>
        </w:rPr>
        <w:t>6</w:t>
      </w:r>
      <w:r>
        <w:rPr>
          <w:spacing w:val="-10"/>
          <w:sz w:val="28"/>
          <w:szCs w:val="28"/>
        </w:rPr>
        <w:t>期）</w:t>
      </w:r>
    </w:p>
    <w:p w14:paraId="59976BA1">
      <w:pPr>
        <w:spacing w:line="259" w:lineRule="auto"/>
        <w:rPr>
          <w:rFonts w:ascii="Arial"/>
          <w:sz w:val="21"/>
        </w:rPr>
      </w:pPr>
    </w:p>
    <w:p w14:paraId="694BE02B">
      <w:pPr>
        <w:spacing w:line="259" w:lineRule="auto"/>
        <w:rPr>
          <w:rFonts w:ascii="Arial"/>
          <w:sz w:val="21"/>
        </w:rPr>
      </w:pPr>
    </w:p>
    <w:p w14:paraId="48093948">
      <w:pPr>
        <w:spacing w:line="259" w:lineRule="auto"/>
        <w:rPr>
          <w:rFonts w:ascii="Arial"/>
          <w:sz w:val="21"/>
        </w:rPr>
      </w:pPr>
    </w:p>
    <w:p w14:paraId="2B5CCD05">
      <w:pPr>
        <w:spacing w:line="259" w:lineRule="auto"/>
        <w:rPr>
          <w:rFonts w:ascii="Arial"/>
          <w:sz w:val="21"/>
        </w:rPr>
      </w:pPr>
    </w:p>
    <w:p w14:paraId="654E6B26">
      <w:pPr>
        <w:spacing w:line="260" w:lineRule="auto"/>
        <w:rPr>
          <w:rFonts w:ascii="Arial"/>
          <w:sz w:val="21"/>
        </w:rPr>
      </w:pPr>
    </w:p>
    <w:p w14:paraId="2364156B">
      <w:pPr>
        <w:spacing w:line="260" w:lineRule="auto"/>
        <w:rPr>
          <w:rFonts w:ascii="Arial"/>
          <w:sz w:val="21"/>
        </w:rPr>
      </w:pPr>
    </w:p>
    <w:sdt>
      <w:sdtPr>
        <w:rPr>
          <w:rFonts w:hint="eastAsia" w:ascii="楷体" w:hAnsi="楷体" w:eastAsia="楷体" w:cs="楷体"/>
          <w:snapToGrid w:val="0"/>
          <w:color w:val="000000"/>
          <w:kern w:val="0"/>
          <w:sz w:val="21"/>
          <w:szCs w:val="21"/>
          <w:lang w:val="en-US" w:eastAsia="en-US" w:bidi="ar-SA"/>
        </w:rPr>
        <w:id w:val="147466167"/>
        <w15:color w:val="DBDBDB"/>
        <w:docPartObj>
          <w:docPartGallery w:val="Table of Contents"/>
          <w:docPartUnique/>
        </w:docPartObj>
      </w:sdtPr>
      <w:sdtEndPr>
        <w:rPr>
          <w:rFonts w:hint="eastAsia" w:ascii="楷体" w:hAnsi="楷体" w:eastAsia="楷体" w:cs="楷体"/>
          <w:snapToGrid w:val="0"/>
          <w:color w:val="000000"/>
          <w:kern w:val="0"/>
          <w:sz w:val="31"/>
          <w:szCs w:val="31"/>
          <w:lang w:val="en-US" w:eastAsia="en-US" w:bidi="ar-SA"/>
        </w:rPr>
      </w:sdtEndPr>
      <w:sdtContent>
        <w:p w14:paraId="288B1D65">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r>
            <w:rPr>
              <w:rFonts w:hint="eastAsia" w:ascii="楷体" w:hAnsi="楷体" w:eastAsia="楷体" w:cs="楷体"/>
              <w:sz w:val="31"/>
              <w:szCs w:val="31"/>
            </w:rPr>
            <w:t>目</w:t>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t>录</w:t>
          </w:r>
        </w:p>
        <w:p w14:paraId="48EE398C">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TOC \o "1-3" \h \u </w:instrText>
          </w:r>
          <w:r>
            <w:rPr>
              <w:rFonts w:hint="eastAsia" w:ascii="楷体" w:hAnsi="楷体" w:eastAsia="楷体" w:cs="楷体"/>
              <w:sz w:val="31"/>
              <w:szCs w:val="31"/>
            </w:rPr>
            <w:fldChar w:fldCharType="separate"/>
          </w:r>
        </w:p>
        <w:p w14:paraId="1AC753E5">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_Toc12610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习近平在参加首都义务植树活动时强调</w:t>
          </w:r>
          <w:r>
            <w:rPr>
              <w:rFonts w:hint="eastAsia" w:ascii="楷体" w:hAnsi="楷体" w:eastAsia="楷体" w:cs="楷体"/>
              <w:sz w:val="31"/>
              <w:szCs w:val="31"/>
              <w:lang w:eastAsia="zh-CN"/>
            </w:rPr>
            <w:t>：</w:t>
          </w:r>
          <w:r>
            <w:rPr>
              <w:rFonts w:hint="eastAsia" w:ascii="楷体" w:hAnsi="楷体" w:eastAsia="楷体" w:cs="楷体"/>
              <w:sz w:val="31"/>
              <w:szCs w:val="31"/>
            </w:rPr>
            <w:fldChar w:fldCharType="end"/>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_Toc17514 </w:instrText>
          </w:r>
          <w:r>
            <w:rPr>
              <w:rFonts w:hint="eastAsia" w:ascii="楷体" w:hAnsi="楷体" w:eastAsia="楷体" w:cs="楷体"/>
              <w:sz w:val="31"/>
              <w:szCs w:val="31"/>
            </w:rPr>
            <w:fldChar w:fldCharType="separate"/>
          </w:r>
          <w:r>
            <w:rPr>
              <w:rFonts w:hint="eastAsia" w:ascii="楷体" w:hAnsi="楷体" w:eastAsia="楷体" w:cs="楷体"/>
              <w:sz w:val="31"/>
              <w:szCs w:val="31"/>
            </w:rPr>
            <w:t>为山川大地增添锦绣</w:t>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t>让中国式现代化底色更加亮丽</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p>
        <w:p w14:paraId="16F9ED46">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2.</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_Toc4692 </w:instrText>
          </w:r>
          <w:r>
            <w:rPr>
              <w:rFonts w:hint="eastAsia" w:ascii="楷体" w:hAnsi="楷体" w:eastAsia="楷体" w:cs="楷体"/>
              <w:sz w:val="31"/>
              <w:szCs w:val="31"/>
            </w:rPr>
            <w:fldChar w:fldCharType="separate"/>
          </w:r>
          <w:r>
            <w:rPr>
              <w:rFonts w:hint="eastAsia" w:ascii="楷体" w:hAnsi="楷体" w:eastAsia="楷体" w:cs="楷体"/>
              <w:bCs/>
              <w:i w:val="0"/>
              <w:iCs w:val="0"/>
              <w:caps w:val="0"/>
              <w:spacing w:val="0"/>
              <w:sz w:val="31"/>
              <w:szCs w:val="31"/>
              <w:shd w:val="clear" w:fill="FFFFFF"/>
            </w:rPr>
            <w:t>《求是》杂志发表习近平总书记重要文章 《树立和践行正确政绩观》</w:t>
          </w:r>
          <w:r>
            <w:rPr>
              <w:rFonts w:hint="eastAsia" w:ascii="楷体" w:hAnsi="楷体" w:eastAsia="楷体" w:cs="楷体"/>
              <w:sz w:val="31"/>
              <w:szCs w:val="31"/>
            </w:rPr>
            <w:tab/>
          </w:r>
          <w:r>
            <w:rPr>
              <w:rFonts w:hint="eastAsia" w:ascii="楷体" w:hAnsi="楷体" w:eastAsia="楷体" w:cs="楷体"/>
              <w:sz w:val="31"/>
              <w:szCs w:val="31"/>
              <w:lang w:val="en-US" w:eastAsia="zh-CN"/>
            </w:rPr>
            <w:t>3</w:t>
          </w:r>
          <w:r>
            <w:rPr>
              <w:rFonts w:hint="eastAsia" w:ascii="楷体" w:hAnsi="楷体" w:eastAsia="楷体" w:cs="楷体"/>
              <w:sz w:val="31"/>
              <w:szCs w:val="31"/>
            </w:rPr>
            <w:fldChar w:fldCharType="end"/>
          </w:r>
        </w:p>
        <w:p w14:paraId="0F49FBFB">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3.</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_Toc2478 </w:instrText>
          </w:r>
          <w:r>
            <w:rPr>
              <w:rFonts w:hint="eastAsia" w:ascii="楷体" w:hAnsi="楷体" w:eastAsia="楷体" w:cs="楷体"/>
              <w:sz w:val="31"/>
              <w:szCs w:val="31"/>
            </w:rPr>
            <w:fldChar w:fldCharType="separate"/>
          </w:r>
          <w:r>
            <w:rPr>
              <w:rFonts w:hint="eastAsia" w:ascii="楷体" w:hAnsi="楷体" w:eastAsia="楷体" w:cs="楷体"/>
              <w:sz w:val="31"/>
              <w:szCs w:val="31"/>
            </w:rPr>
            <w:t>中共中央政治局召开会议</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_Toc24539 </w:instrText>
          </w:r>
          <w:r>
            <w:rPr>
              <w:rFonts w:hint="eastAsia" w:ascii="楷体" w:hAnsi="楷体" w:eastAsia="楷体" w:cs="楷体"/>
              <w:sz w:val="31"/>
              <w:szCs w:val="31"/>
            </w:rPr>
            <w:fldChar w:fldCharType="separate"/>
          </w:r>
          <w:r>
            <w:rPr>
              <w:rFonts w:hint="eastAsia" w:ascii="楷体" w:hAnsi="楷体" w:eastAsia="楷体" w:cs="楷体"/>
              <w:sz w:val="31"/>
              <w:szCs w:val="31"/>
            </w:rPr>
            <w:t>中共中央总书记习近平主持会议</w:t>
          </w:r>
          <w:r>
            <w:rPr>
              <w:rFonts w:hint="eastAsia" w:ascii="楷体" w:hAnsi="楷体" w:eastAsia="楷体" w:cs="楷体"/>
              <w:sz w:val="31"/>
              <w:szCs w:val="31"/>
            </w:rPr>
            <w:tab/>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6</w:t>
          </w:r>
        </w:p>
        <w:p w14:paraId="2014EF87">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4.</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_Toc4948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习近平：推动海洋经济高质量发展</w:t>
          </w:r>
          <w:r>
            <w:rPr>
              <w:rFonts w:hint="eastAsia" w:ascii="楷体" w:hAnsi="楷体" w:eastAsia="楷体" w:cs="楷体"/>
              <w:sz w:val="31"/>
              <w:szCs w:val="31"/>
            </w:rPr>
            <w:tab/>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8</w:t>
          </w:r>
        </w:p>
        <w:p w14:paraId="7B91081C">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5.</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_Toc22235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习近平向世界数据组织成立致贺信</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1</w:t>
          </w:r>
        </w:p>
        <w:p w14:paraId="70B1A728">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6.</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_Toc12961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习近平会见土库曼斯坦民族领袖、人民委员会主席 别尔德穆哈梅多夫</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2</w:t>
          </w:r>
        </w:p>
        <w:p w14:paraId="1BDCF27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napToGrid w:val="0"/>
              <w:color w:val="000000"/>
              <w:kern w:val="0"/>
              <w:sz w:val="31"/>
              <w:szCs w:val="31"/>
              <w:lang w:val="en-US" w:eastAsia="en-US" w:bidi="ar-SA"/>
            </w:rPr>
          </w:pPr>
          <w:r>
            <w:rPr>
              <w:rFonts w:hint="eastAsia" w:ascii="楷体" w:hAnsi="楷体" w:eastAsia="楷体" w:cs="楷体"/>
              <w:sz w:val="31"/>
              <w:szCs w:val="31"/>
            </w:rPr>
            <w:fldChar w:fldCharType="end"/>
          </w:r>
        </w:p>
      </w:sdtContent>
    </w:sdt>
    <w:p w14:paraId="4F3DCEE5">
      <w:pPr>
        <w:spacing w:line="210" w:lineRule="auto"/>
        <w:rPr>
          <w:rFonts w:ascii="华文楷体" w:hAnsi="华文楷体" w:eastAsia="华文楷体" w:cs="华文楷体"/>
          <w:snapToGrid w:val="0"/>
          <w:color w:val="000000"/>
          <w:kern w:val="0"/>
          <w:sz w:val="21"/>
          <w:szCs w:val="31"/>
          <w:lang w:val="en-US" w:eastAsia="en-US" w:bidi="ar-SA"/>
        </w:rPr>
        <w:sectPr>
          <w:type w:val="continuous"/>
          <w:pgSz w:w="11907" w:h="16839"/>
          <w:pgMar w:top="1431" w:right="570" w:bottom="0" w:left="1432" w:header="0" w:footer="0" w:gutter="0"/>
          <w:pgNumType w:fmt="decimal"/>
          <w:cols w:equalWidth="0" w:num="2">
            <w:col w:w="2909" w:space="100"/>
            <w:col w:w="6895"/>
          </w:cols>
        </w:sectPr>
      </w:pPr>
      <w:r>
        <w:rPr>
          <w:rFonts w:hint="eastAsia" w:ascii="楷体" w:hAnsi="楷体" w:eastAsia="楷体" w:cs="楷体"/>
          <w:sz w:val="31"/>
          <w:szCs w:val="31"/>
        </w:rPr>
        <w:tab/>
      </w:r>
      <w:bookmarkStart w:id="12" w:name="_GoBack"/>
      <w:bookmarkEnd w:id="12"/>
    </w:p>
    <w:p w14:paraId="7F5A7E3F">
      <w:pPr>
        <w:pStyle w:val="2"/>
        <w:bidi w:val="0"/>
        <w:rPr>
          <w:rFonts w:hint="eastAsia"/>
          <w:lang w:val="en-US" w:eastAsia="zh-CN"/>
        </w:rPr>
      </w:pPr>
      <w:bookmarkStart w:id="0" w:name="bookmark5"/>
      <w:bookmarkEnd w:id="0"/>
      <w:bookmarkStart w:id="1" w:name="bookmark19"/>
      <w:bookmarkEnd w:id="1"/>
      <w:bookmarkStart w:id="2" w:name="bookmark17"/>
      <w:bookmarkEnd w:id="2"/>
      <w:bookmarkStart w:id="3" w:name="_Toc12610"/>
      <w:r>
        <w:t>习近平在参加首都义务植树活动时强调</w:t>
      </w:r>
      <w:bookmarkEnd w:id="3"/>
      <w:r>
        <w:t xml:space="preserve"> </w:t>
      </w:r>
      <w:r>
        <w:rPr>
          <w:rFonts w:hint="eastAsia"/>
          <w:lang w:val="en-US" w:eastAsia="zh-CN"/>
        </w:rPr>
        <w:t xml:space="preserve"> </w:t>
      </w:r>
    </w:p>
    <w:p w14:paraId="08505344">
      <w:pPr>
        <w:pStyle w:val="2"/>
        <w:bidi w:val="0"/>
        <w:rPr>
          <w:rFonts w:hint="eastAsia"/>
        </w:rPr>
      </w:pPr>
      <w:bookmarkStart w:id="4" w:name="_Toc17514"/>
      <w:r>
        <w:t>为山川大地增添锦绣</w:t>
      </w:r>
      <w:r>
        <w:rPr>
          <w:rFonts w:hint="eastAsia"/>
          <w:lang w:val="en-US" w:eastAsia="zh-CN"/>
        </w:rPr>
        <w:t xml:space="preserve">  </w:t>
      </w:r>
      <w:r>
        <w:rPr>
          <w:rFonts w:hint="eastAsia"/>
        </w:rPr>
        <w:t>让中国式现代化底色更加亮丽</w:t>
      </w:r>
      <w:bookmarkEnd w:id="4"/>
    </w:p>
    <w:p w14:paraId="4EA71F6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新华社北京3月30日电 中共中央总书记、国家主席、中央军委主席习近平30日上午在参加首都义务植树活动时强调，良好生态人人共享，也需要合力共建。要组织动员全社会广泛参与植树造林，为山川大地增添锦绣，让中国式现代化的底色更加亮丽。</w:t>
      </w:r>
    </w:p>
    <w:p w14:paraId="75E836D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首都北京春风和煦、万物生发。上午10时40分许，党和国家领导人习近平、李强、赵乐际、王沪宁、蔡奇、丁薛祥、李希等集体乘车，来到昌平区百善镇，同干部群众一起参加义务植树。</w:t>
      </w:r>
    </w:p>
    <w:p w14:paraId="54B8E2C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植树点为规划公园用地，公园建成后将为群众提供生态休闲空间。</w:t>
      </w:r>
    </w:p>
    <w:p w14:paraId="206F0F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看到总书记来了，正在植树的干部群众纷纷热情地向总书记问好。习近平向大家挥手致意，拿起铁锹走向植树现场，同在场的北京市、国家林草局负责同志和干部群众、少先队员一起忙碌起来。</w:t>
      </w:r>
    </w:p>
    <w:p w14:paraId="0C41528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挥锹铲土、培土围堰、提水浇灌……习近平接连种下油松、北京牡丹、榆叶梅、杜仲、元宝枫等多棵树苗。他一边植树，一边询问孩子们的学习生活、劳动锻炼和参加植树情况。习近平强调，青少年像小树苗一样充满活力和希望，要从小树立远大志向，爱知识、爱劳动、爱自然，德智体美劳全面发展，努力成长为栋梁之材。现场气氛热烈，一派繁忙景象。</w:t>
      </w:r>
    </w:p>
    <w:p w14:paraId="58CB29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同在场的干部群众亲切交谈。他说，党的十八大以来，我国森林面积和蓄积量持续“双增长”，荒漠化和沙化土地面积持续“双缩减”，是全球增绿最多最快的国家，天蓝地绿水清已经成为常态。前不久，我国颁布生态环境法典，进一步筑牢了美丽中国建设的法治基石。植树造林是美丽中国建设的一项重要任务，要咬定青山不放松，立足当下、着眼长远、接力奋进，把这件利国利民的大事扎实做好。</w:t>
      </w:r>
    </w:p>
    <w:p w14:paraId="22AFD05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今年是“十五五”开局之年，也是全民义务植树运动开展45周年。新形势下推进国土绿化，要更加注重提质、兴业、利民，实现种与管共抓、生态与产业共促、人与自然共生。要统筹利用绿化空间，以地定绿、以水定绿，因地制宜做好增绿文章，宜树则树，宜草则草。要下更大气力加强管护，分区分类开展森林可持续经营，有力有效推进草原保护修复，全面提升林草质量和功能，防火防虫护好绿化成果。要畅通生态产品价值转化渠道，壮大林草产业，同步提升经济价值和生态效益。要协同推进城乡绿化美化，见缝插针增加群众身边的绿地，让城乡居民有更多的绿色获得感。</w:t>
      </w:r>
    </w:p>
    <w:p w14:paraId="5773D38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在京中共中央政治局委员、中央书记处书记、国务委员等参加植树活动。</w:t>
      </w:r>
    </w:p>
    <w:p w14:paraId="1CCE1D7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824EDB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6C4FF74">
      <w:pPr>
        <w:pStyle w:val="2"/>
        <w:bidi w:val="0"/>
        <w:rPr>
          <w:rFonts w:hint="eastAsia" w:ascii="微软雅黑" w:hAnsi="微软雅黑" w:eastAsia="微软雅黑" w:cs="微软雅黑"/>
          <w:b/>
          <w:bCs/>
          <w:i w:val="0"/>
          <w:iCs w:val="0"/>
          <w:caps w:val="0"/>
          <w:color w:val="262626"/>
          <w:spacing w:val="0"/>
          <w:sz w:val="48"/>
          <w:szCs w:val="48"/>
          <w:shd w:val="clear" w:fill="FFFFFF"/>
        </w:rPr>
      </w:pPr>
      <w:bookmarkStart w:id="5" w:name="_Toc4692"/>
      <w:r>
        <w:rPr>
          <w:rFonts w:ascii="微软雅黑" w:hAnsi="微软雅黑" w:eastAsia="微软雅黑" w:cs="微软雅黑"/>
          <w:b/>
          <w:bCs/>
          <w:i w:val="0"/>
          <w:iCs w:val="0"/>
          <w:caps w:val="0"/>
          <w:color w:val="262626"/>
          <w:spacing w:val="0"/>
          <w:sz w:val="48"/>
          <w:szCs w:val="48"/>
          <w:shd w:val="clear" w:fill="FFFFFF"/>
        </w:rPr>
        <w:t>《求是》杂志发表习近平总书记重要文章</w:t>
      </w:r>
      <w:r>
        <w:rPr>
          <w:rFonts w:hint="eastAsia" w:ascii="微软雅黑" w:hAnsi="微软雅黑" w:eastAsia="微软雅黑" w:cs="微软雅黑"/>
          <w:b/>
          <w:bCs/>
          <w:i w:val="0"/>
          <w:iCs w:val="0"/>
          <w:caps w:val="0"/>
          <w:color w:val="262626"/>
          <w:spacing w:val="0"/>
          <w:sz w:val="48"/>
          <w:szCs w:val="48"/>
          <w:shd w:val="clear" w:fill="FFFFFF"/>
        </w:rPr>
        <w:br w:type="textWrapping"/>
      </w:r>
      <w:r>
        <w:rPr>
          <w:rFonts w:hint="eastAsia" w:ascii="微软雅黑" w:hAnsi="微软雅黑" w:eastAsia="微软雅黑" w:cs="微软雅黑"/>
          <w:b/>
          <w:bCs/>
          <w:i w:val="0"/>
          <w:iCs w:val="0"/>
          <w:caps w:val="0"/>
          <w:color w:val="262626"/>
          <w:spacing w:val="0"/>
          <w:sz w:val="48"/>
          <w:szCs w:val="48"/>
          <w:shd w:val="clear" w:fill="FFFFFF"/>
        </w:rPr>
        <w:t>《树立和践行正确政绩观》</w:t>
      </w:r>
      <w:bookmarkEnd w:id="5"/>
    </w:p>
    <w:p w14:paraId="1AE4144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90"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bCs/>
          <w:snapToGrid w:val="0"/>
          <w:color w:val="262626"/>
          <w:spacing w:val="17"/>
          <w:kern w:val="0"/>
          <w:sz w:val="31"/>
          <w:szCs w:val="31"/>
          <w:lang w:val="en-US" w:eastAsia="zh-CN" w:bidi="ar-SA"/>
        </w:rPr>
        <w:t>新华社北京3月31日电</w:t>
      </w:r>
      <w:r>
        <w:rPr>
          <w:rFonts w:hint="eastAsia" w:ascii="仿宋" w:hAnsi="仿宋" w:eastAsia="仿宋" w:cs="仿宋"/>
          <w:b w:val="0"/>
          <w:bCs w:val="0"/>
          <w:snapToGrid w:val="0"/>
          <w:color w:val="262626"/>
          <w:spacing w:val="17"/>
          <w:kern w:val="0"/>
          <w:sz w:val="31"/>
          <w:szCs w:val="31"/>
          <w:lang w:val="en-US" w:eastAsia="zh-CN" w:bidi="ar-SA"/>
        </w:rPr>
        <w:t xml:space="preserve">  4月1日出版的第7期《求是》杂志将发表中共中央总书记、国家主席、中央军委主席习近平的重要文章《树立和践行正确政绩观》。这是习近平总书记2012年12月至2026年2月期间有关重要论述的节录。</w:t>
      </w:r>
    </w:p>
    <w:p w14:paraId="2304FF3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文章强调，政绩观问题是一个根本性问题，关乎立党为公、执政为民。只有不断以良好政绩推动党和国家事业发展、造福人民，才能践行好党的宗旨，也才能完成好党的历史使命。要坚持从实际出发、按规律办事，通过科学决策和实干苦干，创造经得起实践和历史检验、真正造福人民、得到群众公认的业绩。</w:t>
      </w:r>
    </w:p>
    <w:p w14:paraId="3B9C8C0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文章指出，树立和践行正确政绩观，起决定性作用的是党性。衡量党性强弱的根本尺子是公、私二字。只有党性坚强、摒弃私心杂念，才能保证政绩观不出偏差。各级领导干部要从实现党的使命任务出发，树立和践行正确政绩观，看自己的思想和行动有没有偏离共产主义远大理想和中国特色社会主义共同理想，有没有背离全心全意为人民服务根本宗旨，有没有游离党的路线方针政策和党中央重大决策部署，有没有脱离国情和本地区本部门实际，以功成不必在我、功成必定有我的精神境界，心无旁骛推进中国式现代化。</w:t>
      </w:r>
    </w:p>
    <w:p w14:paraId="56A74AA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文章指出，共产党人必须牢记，为民造福是最大政绩。干事业、创政绩，为的是造福人民，不是为了个人升迁得失。谋划推进工作，一定要坚持全心全意为人民服务的根本宗旨，坚持以人民为中心的发展思想，坚持发展为了人民、发展依靠人民、发展成果由人民共享，把好事实事做到群众心坎上。要坚持为人民出政绩、以实干出政绩，不在追求政绩上搞急功近利、弄虚作假、盲目蛮干那一套，杜绝新官不理旧账和“形象工程”、“政绩工程”。</w:t>
      </w:r>
    </w:p>
    <w:p w14:paraId="69A1A44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文章强调，高质量发展是全面建设社会主义现代化国家的首要任务，坚持高质量发展要成为领导干部政绩观的重要内容。把完整准确全面贯彻新发展理念、着力推动高质量发展这个要求一级一级落实下去，没有正确政绩观是做不到的。要处理好稳和进、立和破、虚和实、标和本、近和远的关系，坚持底线思维，强化风险意识，自觉把新发展理念贯穿到经济社会发展全过程。要完善推动高质量发展的政绩考核评价办法，发挥好指挥棒作用，推动各级领导班子认真践行正确政绩观，切实形成正确工作导向。要完善差异化考核评价体系，提高考评针对性和科学性，防止出现“数字出官、官出数字”的恶性循环。</w:t>
      </w:r>
    </w:p>
    <w:p w14:paraId="15A1B22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文章指出，今年是“十五五”开局之年，地方各级领导班子将陆续换届，通过学习教育推动各级领导班子和领导干部树立和践行正确政绩观，十分重要，很有必要。要把学习教育作为今年党的建设的重要任务，确保取得实效。第一，认认真真、扎扎实实提高思想认识。全党同志特别是各级领导干部要从理论上和实践上深刻认识政绩观对党和国家事业发展的重要性，特别是要对照正反两方面典型，深刻汲取经验教训，提高党性觉悟，以对党和人民高度负责的态度，增强树立和践行正确政绩观的思想自觉和行动自觉。第二，认认真真、扎扎实实整改突出问题。要紧扣贯彻“立党为公、为民造福、科学决策、真抓实干”总要求，一体推进学查改，把问题查清、找准，精准务实抓整改。第三，认认真真、扎扎实实立好制度规矩。要从这次学习教育查改的问题中发现制度漏洞、短板、弱项，切实把制度规矩补齐立好，把什么能干、什么不能干、为了谁干、应当怎样干搞得清清楚楚，并且配套完善问责办法，让制度硬起来，充分发挥引导激励、规范约束作用。</w:t>
      </w:r>
    </w:p>
    <w:p w14:paraId="730DAF4A">
      <w:pPr>
        <w:pStyle w:val="2"/>
        <w:bidi w:val="0"/>
        <w:spacing w:line="240" w:lineRule="auto"/>
      </w:pPr>
    </w:p>
    <w:p w14:paraId="33A56169">
      <w:pPr>
        <w:pStyle w:val="2"/>
        <w:bidi w:val="0"/>
        <w:spacing w:line="240" w:lineRule="auto"/>
      </w:pPr>
    </w:p>
    <w:p w14:paraId="611328D4">
      <w:pPr>
        <w:pStyle w:val="2"/>
        <w:bidi w:val="0"/>
        <w:spacing w:line="240" w:lineRule="auto"/>
      </w:pPr>
    </w:p>
    <w:p w14:paraId="0BC212E2">
      <w:pPr>
        <w:pStyle w:val="2"/>
        <w:bidi w:val="0"/>
        <w:spacing w:line="240" w:lineRule="auto"/>
      </w:pPr>
    </w:p>
    <w:p w14:paraId="743EA56B">
      <w:pPr>
        <w:pStyle w:val="2"/>
        <w:bidi w:val="0"/>
        <w:spacing w:line="240" w:lineRule="auto"/>
      </w:pPr>
    </w:p>
    <w:p w14:paraId="598A54FC">
      <w:pPr>
        <w:pStyle w:val="2"/>
        <w:bidi w:val="0"/>
        <w:spacing w:line="240" w:lineRule="auto"/>
      </w:pPr>
    </w:p>
    <w:p w14:paraId="4C1856A3">
      <w:pPr>
        <w:bidi w:val="0"/>
      </w:pPr>
    </w:p>
    <w:p w14:paraId="50749B89">
      <w:pPr>
        <w:bidi w:val="0"/>
      </w:pPr>
    </w:p>
    <w:p w14:paraId="2751A368">
      <w:pPr>
        <w:bidi w:val="0"/>
      </w:pPr>
    </w:p>
    <w:p w14:paraId="3DF0269A">
      <w:pPr>
        <w:bidi w:val="0"/>
      </w:pPr>
    </w:p>
    <w:p w14:paraId="53D43F9A">
      <w:pPr>
        <w:pStyle w:val="2"/>
        <w:bidi w:val="0"/>
      </w:pPr>
      <w:bookmarkStart w:id="6" w:name="_Toc2478"/>
      <w:r>
        <w:t>中共中央政治局召开会议</w:t>
      </w:r>
      <w:bookmarkEnd w:id="6"/>
      <w:r>
        <w:t xml:space="preserve"> </w:t>
      </w:r>
    </w:p>
    <w:p w14:paraId="4454E8B8">
      <w:pPr>
        <w:pStyle w:val="2"/>
        <w:bidi w:val="0"/>
      </w:pPr>
      <w:bookmarkStart w:id="7" w:name="_Toc24539"/>
      <w:r>
        <w:t>中共中央总书记习近平主持会议</w:t>
      </w:r>
      <w:bookmarkEnd w:id="7"/>
    </w:p>
    <w:p w14:paraId="2270FF7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新华社北京3月27日电 中共中央政治局3月27日召开会议，审议《中国共产党地方委员会工作条例》。中共中央总书记习近平主持会议。</w:t>
      </w:r>
    </w:p>
    <w:p w14:paraId="49710B0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会议指出，地方党委要坚决维护以习近平同志为核心的党中央权威和集中统一领导，把贯彻落实党中央决策部署作为重中之重，对党中央定下来的事扭住不放、狠抓落实，同时紧密结合本地区实际，增强工作主动性、创造性。</w:t>
      </w:r>
    </w:p>
    <w:p w14:paraId="738B369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会议强调，地方党委在谋发展保安全上责无旁贷，要脚踏实地、真抓实干。要完整准确全面贯彻新发展理念，扎扎实实推动高质量发展，着力保障和改善民生，全力维护国家安全和社会大局稳定。要树立和践行正确政绩观，坚持为人民出政绩、以实干出政绩，努力创造经得起实践、人民、历史检验的实绩。要在地方党委领导班子中强化民主集中制教育，完善议事决策规则，细化负面清单，健全监督机制，明确监督重点事项、具体措施、责任追究等内容，确保民主集中制严格贯彻执行。地方党委领导班子成员要加强理论学习，提高专业素质，着力提高领导能力。要扛起管党治党政治责任，坚定不移推进全面从严治党，锲而不舍严格贯彻中央八项规定及其实施细则精神，深入整治形式主义为基层减负，依法依规用权，守好廉洁底线，推动形成风清气正的政治生态。</w:t>
      </w:r>
    </w:p>
    <w:p w14:paraId="4CCA8F6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会议还研究了其他事项。</w:t>
      </w:r>
    </w:p>
    <w:p w14:paraId="5162960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356520F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304EAD1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70C01B5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67C750D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7DB0494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3060DB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6B3764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0DFE128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5EA0A5A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19D6830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C81FD9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4682D4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C9FA79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C773AE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1826347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7F8817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29EB1D3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31129A3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02D2233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DA4BC8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1D30477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9FE28AE">
      <w:pPr>
        <w:pStyle w:val="2"/>
        <w:bidi w:val="0"/>
        <w:rPr>
          <w:rFonts w:hint="eastAsia"/>
          <w:lang w:val="en-US" w:eastAsia="zh-CN"/>
        </w:rPr>
      </w:pPr>
      <w:bookmarkStart w:id="8" w:name="_Toc4948"/>
      <w:r>
        <w:rPr>
          <w:rFonts w:hint="eastAsia"/>
          <w:lang w:val="en-US" w:eastAsia="zh-CN"/>
        </w:rPr>
        <w:t>习近平：推动海洋经济高质量发展</w:t>
      </w:r>
      <w:bookmarkEnd w:id="8"/>
    </w:p>
    <w:p w14:paraId="360F16D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我国经略海洋、开发海洋历史悠久，先秦时期就有“煮海为盐”的生产活动，唐宋时期“海上丝绸之路”十分兴盛，明朝郑和七下西洋更是世界航海史上的壮举。新中国成立后，我们有序开发利用海洋。改革开放后，我国海洋经济进入加快发展期。我对海洋经济发展一直高度关注，在福建工作时提出建设“海上福建”，念好“山海经”；党的十八大以来每次到沿海地区考察，都强调大力发展海洋经济、建设海洋强国。2024年，我国海洋经济规模达到10.5万亿元，比2012年翻了一番多，占国内生产总值的7.8%。我国攻克了造船工业皇冠上的“三大明珠”，建成“蛟龙”号、“梦想”号、“深海一号”等国之重器，海洋渔业、海上风电等产业规模位居全球前列。</w:t>
      </w:r>
    </w:p>
    <w:p w14:paraId="537B1B3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推进中国式现代化，必须高效开发利用海洋，推动海洋经济高质量发展，走出一条具有中国特色的向海图强之路。大的思路上，要更加注重创新驱动，尽快突破关键核心技术，推动海洋科技实现高水平自立自强；更加注重高效协同，坚持陆海统筹、山海联动，增强协同发展合力；更加注重产业更新，推动海洋传统产业转型升级，大力发展海洋新兴产业，积极培育海洋未来产业，建设现代海洋产业体系；更加注重人海和谐，统筹海洋资源开发和保护，建设可持续的海洋生态环境，形成人海良性互动的新格局；更加注重合作共赢，主动参与全球海洋治理，共同和平利用海洋能源资源，坚决维护我国领土主权和海洋权益。具体工作上，要重点抓好6个方面。</w:t>
      </w:r>
    </w:p>
    <w:p w14:paraId="5F9DA97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第一，加强顶层设计和政策支持。制定出台进一步推动海洋经济高质量发展的指导意见，编制“十五五”海洋经济发展规划，加大产业、科技、财税、金融等方面政策支持力度。鼓励引导社会资本积极参与发展海洋经济。</w:t>
      </w:r>
    </w:p>
    <w:p w14:paraId="01D14DE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第二，提高海洋科技自主创新能力。强化海洋战略科技力量，持续推动建设海洋和极地国家实验室、全国重点实验室，培育发展海洋科技领军企业和专精特新中小企业，实施“蓝色人才”专项计划。</w:t>
      </w:r>
    </w:p>
    <w:p w14:paraId="5E1A879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第三，做强做优做大海洋产业。开展新一轮海洋综合调查。推进重点海域油气勘探开发，推动海上风电规范有序建设，规模化开发潮汐能等海洋能。开展“蓝色种业”创新行动，拓展深远海养殖，发展现代化远洋捕捞。积极发展海洋生物医药、生物制品。打造海洋特色文化和旅游目的地。推进船舶和海洋工程装备产业高质量发展行动。加强“数字海洋”建设，发展“蓝色金融”，推动海运业高质量发展。</w:t>
      </w:r>
    </w:p>
    <w:p w14:paraId="5FB3753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第四，加强主要海湾整体规划。有序推进沿海港口群优化整合，支持重点港口绿色化、数智化转型。推进西部陆海新通道建设。</w:t>
      </w:r>
    </w:p>
    <w:p w14:paraId="35E0B7E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第五，加强海洋生态环境保护。加强海洋环境风险源头防范，接续实施重点海域综合治理，推进蓝色海湾、美丽岸滩、和美海岛建设行动。制定差异化用海标准规范，积极推进海域分层立体利用。探索开展海洋碳汇核算。有效应对海水倒灌、海平面上升等自然灾害。</w:t>
      </w:r>
    </w:p>
    <w:p w14:paraId="5F95163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第六，深度参与全球海洋治理。加强全球海洋科研调查、防灾减灾、蓝色经济合作，推进“一带一路”国际港口联盟建设，完善同21世纪海上丝绸之路沿线国家的合作机制。</w:t>
      </w:r>
    </w:p>
    <w:p w14:paraId="12B5DB8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※这是习近平总书记2025年7月1日在二十届中央财经委员会第六次会议上讲话的一部分。</w:t>
      </w:r>
    </w:p>
    <w:p w14:paraId="259DE9F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7159FB1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B0463B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77BC116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53C9E2B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2B75FEC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752F029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7427CDE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2954AD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27CABD8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3312C7A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093E586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1ACE5B1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3E5DC8D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3AB9685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1D52569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0349E53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093896E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82FC334">
      <w:pPr>
        <w:pStyle w:val="2"/>
        <w:bidi w:val="0"/>
        <w:rPr>
          <w:rFonts w:hint="eastAsia"/>
          <w:lang w:val="en-US" w:eastAsia="zh-CN"/>
        </w:rPr>
      </w:pPr>
      <w:bookmarkStart w:id="9" w:name="_Toc22235"/>
      <w:r>
        <w:t>习近平向世界数据组织成立致贺信</w:t>
      </w:r>
      <w:bookmarkEnd w:id="9"/>
    </w:p>
    <w:p w14:paraId="4B39D7C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新华社北京3月30日电 3月30日，国家主席习近平向世界数据组织成立致贺信。</w:t>
      </w:r>
    </w:p>
    <w:p w14:paraId="1F9BC5F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习近平指出，当今世界正在加速迈入智能时代，数据的基础资源作用和创新引擎作用日渐显现。世界数据组织以“弥合数据鸿沟、释放数据价值、繁荣数字经济”为宗旨，为深化数据国际合作、完善全球数据治理提供了有益平台。</w:t>
      </w:r>
    </w:p>
    <w:p w14:paraId="2EC5157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习近平强调，中国将秉持共商共建共享理念，支持世界数据组织发挥作用，同各方一道凝聚数据治理规则共识，推动数智技术创新，促进数据安全有序流动和高效开发利用，服务全球数字经济健康发展，让数据红利更好造福各国人民。</w:t>
      </w:r>
    </w:p>
    <w:p w14:paraId="532C2E0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世界数据组织成立大会当日在北京举行，主题为“共建数据合作平台·共享数字发展机遇”。该组织会员包括全球数据领域相关企业、高校、智库、国际组织、金融机构等。</w:t>
      </w:r>
    </w:p>
    <w:p w14:paraId="793B322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A98B41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3D4ADDE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72753B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18355EA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565DD51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1CA2B4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2F4AAD7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4987973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p>
    <w:p w14:paraId="25DB89EE">
      <w:pPr>
        <w:pStyle w:val="2"/>
        <w:bidi w:val="0"/>
        <w:rPr>
          <w:rFonts w:hint="eastAsia"/>
        </w:rPr>
      </w:pPr>
      <w:bookmarkStart w:id="10" w:name="_Toc12961"/>
      <w:r>
        <w:t>习近平会见土库曼斯坦民族领袖、人民委员会主席</w:t>
      </w:r>
      <w:r>
        <w:rPr>
          <w:rFonts w:hint="eastAsia"/>
        </w:rPr>
        <w:br w:type="textWrapping"/>
      </w:r>
      <w:r>
        <w:rPr>
          <w:rFonts w:hint="eastAsia"/>
        </w:rPr>
        <w:t>别尔德穆哈梅多夫</w:t>
      </w:r>
      <w:bookmarkEnd w:id="10"/>
    </w:p>
    <w:p w14:paraId="46984C9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新华社北京3月18日电 3月18日下午，国家主席习近平在北京钓鱼台国宾馆会见来华进行友好访问的土库曼斯坦民族领袖、人民委员会主席别尔德穆哈梅多夫。</w:t>
      </w:r>
    </w:p>
    <w:p w14:paraId="233AD59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习近平指出，前不久中国全国两会成功召开，审查批准了“十五五”规划纲要。规划纲要的实施将为中国基本实现社会主义现代化奠定坚实基础，也将惠及世界各国。土库曼斯坦独立35年来，走出一条独立自主、符合自身国情的发展道路。马年伊始，中方愿同土方共商合作大计，共享发展机遇，推动中土命运共同体建设不断走深走实。</w:t>
      </w:r>
    </w:p>
    <w:p w14:paraId="37F9519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习近平强调，相互支持是中土全面战略伙伴关系的核心要义。无论国际形势如何变化，中方将始终支持土方维护国家独立、主权和领土完整，始终支持土方奉行永久中立政策，始终做土方值得信赖的合作伙伴。双方要加快推进共建“一带一路”倡议和“复兴丝绸之路”战略对接，扩大天然气领域合作规模，提升贸易和投资水平，拓展互联互通、农业、人工智能、数字经济、清洁能源等非资源领域合作，加快推进鲁班工坊、中医药中心、互设文化中心工作，打造全方位合作新格局。要坚决打击“三股势力”，为两国发展筑牢安全屏障。当前全球挑战层出不穷，中方愿同土方一道，坚定维护联合国地位和权威，践行真正的多边主义，坚持共商共建共享的全球治理观，以公平正义、开放包容理念引领全球治理变革。</w:t>
      </w:r>
    </w:p>
    <w:p w14:paraId="71D663F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别尔德穆哈梅多夫表示，很高兴到访伟大的中国，祝贺中国全国两会成功举行，对各项事业发展作出重大决策部署。中国的繁荣发展使世界受益。中国好，世界会更好。在习近平主席亲自推动下，土中友好关系快速稳定发展，立法机构、党际交往密切，各领域合作内涵丰富，达到全面战略伙伴的高水平。土中合作已成为两国经济社会发展的重要积极因素，符合两国人民的长远利益。土方将一如既往恪守一个中国原则，愿同中方加强发展战略对接，拓展能源、贸易、互联互通等领域务实合作，共谋发展繁荣，共促安全稳定。土方感谢中方支持土库曼斯坦永久中立地位，高度评价习近平主席作为世界级领袖提出的四大全球倡议，赞赏中方在国际事务中一直秉持公正立场。土方愿同中方加强在联合国、中国－中亚机制等多边平台的协调配合，共同维护地区和世界的和平稳定。</w:t>
      </w:r>
    </w:p>
    <w:p w14:paraId="16DF6C2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val="0"/>
        <w:snapToGrid w:val="0"/>
        <w:spacing w:before="0" w:beforeAutospacing="0" w:after="0" w:afterAutospacing="0" w:line="360" w:lineRule="auto"/>
        <w:ind w:left="0" w:right="0" w:firstLine="688" w:firstLineChars="200"/>
        <w:jc w:val="both"/>
        <w:textAlignment w:val="baseline"/>
        <w:rPr>
          <w:rFonts w:hint="eastAsia" w:ascii="仿宋" w:hAnsi="仿宋" w:eastAsia="仿宋" w:cs="仿宋"/>
          <w:b w:val="0"/>
          <w:bCs w:val="0"/>
          <w:snapToGrid w:val="0"/>
          <w:color w:val="262626"/>
          <w:spacing w:val="17"/>
          <w:kern w:val="0"/>
          <w:sz w:val="31"/>
          <w:szCs w:val="31"/>
          <w:lang w:val="en-US" w:eastAsia="zh-CN" w:bidi="ar-SA"/>
        </w:rPr>
      </w:pPr>
      <w:r>
        <w:rPr>
          <w:rFonts w:hint="eastAsia" w:ascii="仿宋" w:hAnsi="仿宋" w:eastAsia="仿宋" w:cs="仿宋"/>
          <w:b w:val="0"/>
          <w:bCs w:val="0"/>
          <w:snapToGrid w:val="0"/>
          <w:color w:val="262626"/>
          <w:spacing w:val="17"/>
          <w:kern w:val="0"/>
          <w:sz w:val="31"/>
          <w:szCs w:val="31"/>
          <w:lang w:val="en-US" w:eastAsia="zh-CN" w:bidi="ar-SA"/>
        </w:rPr>
        <w:t>王毅参加会见。</w:t>
      </w:r>
    </w:p>
    <w:p w14:paraId="2B19121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0" w:firstLineChars="200"/>
        <w:jc w:val="left"/>
        <w:textAlignment w:val="baseline"/>
        <w:rPr>
          <w:rFonts w:hint="eastAsia" w:ascii="微软雅黑" w:hAnsi="微软雅黑" w:eastAsia="微软雅黑" w:cs="微软雅黑"/>
          <w:i w:val="0"/>
          <w:iCs w:val="0"/>
          <w:caps w:val="0"/>
          <w:color w:val="262626"/>
          <w:spacing w:val="0"/>
          <w:sz w:val="27"/>
          <w:szCs w:val="27"/>
          <w:shd w:val="clear" w:fill="FFFFFF"/>
          <w:lang w:val="en-US" w:eastAsia="zh-CN"/>
        </w:rPr>
      </w:pPr>
    </w:p>
    <w:p w14:paraId="70474CCE">
      <w:pPr>
        <w:keepNext w:val="0"/>
        <w:keepLines w:val="0"/>
        <w:pageBreakBefore w:val="0"/>
        <w:widowControl/>
        <w:kinsoku/>
        <w:wordWrap/>
        <w:overflowPunct w:val="0"/>
        <w:topLinePunct w:val="0"/>
        <w:autoSpaceDE w:val="0"/>
        <w:autoSpaceDN w:val="0"/>
        <w:bidi w:val="0"/>
        <w:adjustRightInd w:val="0"/>
        <w:snapToGrid w:val="0"/>
        <w:spacing w:line="360" w:lineRule="auto"/>
        <w:ind w:right="0" w:firstLine="540" w:firstLineChars="200"/>
        <w:jc w:val="both"/>
        <w:textAlignment w:val="baseline"/>
        <w:rPr>
          <w:rFonts w:hint="eastAsia" w:ascii="微软雅黑" w:hAnsi="微软雅黑" w:eastAsia="微软雅黑" w:cs="微软雅黑"/>
          <w:i w:val="0"/>
          <w:iCs w:val="0"/>
          <w:caps w:val="0"/>
          <w:color w:val="555555"/>
          <w:spacing w:val="0"/>
          <w:sz w:val="27"/>
          <w:szCs w:val="27"/>
          <w:shd w:val="clear" w:fill="FFFFFF"/>
          <w:lang w:val="en-US" w:eastAsia="zh-CN"/>
        </w:rPr>
      </w:pPr>
    </w:p>
    <w:sectPr>
      <w:footerReference r:id="rId5" w:type="default"/>
      <w:pgSz w:w="11907" w:h="16839"/>
      <w:pgMar w:top="1431" w:right="1482" w:bottom="1402" w:left="1521" w:header="0" w:footer="1201"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9429">
    <w:pPr>
      <w:spacing w:line="220" w:lineRule="auto"/>
      <w:ind w:left="43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E4AB8">
                          <w:pPr>
                            <w:pStyle w:val="4"/>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1AE4AB8">
                    <w:pPr>
                      <w:pStyle w:val="4"/>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9405A9"/>
    <w:rsid w:val="009F3794"/>
    <w:rsid w:val="047223C8"/>
    <w:rsid w:val="10243681"/>
    <w:rsid w:val="125712C6"/>
    <w:rsid w:val="155F79D7"/>
    <w:rsid w:val="18E1341B"/>
    <w:rsid w:val="1E9B6843"/>
    <w:rsid w:val="1F4C7E66"/>
    <w:rsid w:val="1F5D7311"/>
    <w:rsid w:val="2B232147"/>
    <w:rsid w:val="2B6D7ACB"/>
    <w:rsid w:val="2B95478C"/>
    <w:rsid w:val="2C772889"/>
    <w:rsid w:val="30CA4CB3"/>
    <w:rsid w:val="343A12B1"/>
    <w:rsid w:val="367E4976"/>
    <w:rsid w:val="37E87E14"/>
    <w:rsid w:val="3A585A70"/>
    <w:rsid w:val="438E56E3"/>
    <w:rsid w:val="47C44F56"/>
    <w:rsid w:val="49567D19"/>
    <w:rsid w:val="4DC07F2D"/>
    <w:rsid w:val="4F5D2DEA"/>
    <w:rsid w:val="4F8A149D"/>
    <w:rsid w:val="53026A36"/>
    <w:rsid w:val="58064B79"/>
    <w:rsid w:val="5C61531C"/>
    <w:rsid w:val="5FD81F33"/>
    <w:rsid w:val="62004FA2"/>
    <w:rsid w:val="64A96A2B"/>
    <w:rsid w:val="6B6D21C1"/>
    <w:rsid w:val="6E5544B9"/>
    <w:rsid w:val="72962B51"/>
    <w:rsid w:val="73F74046"/>
    <w:rsid w:val="76622145"/>
    <w:rsid w:val="7D8522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qFormat/>
    <w:uiPriority w:val="0"/>
    <w:pPr>
      <w:keepNext/>
      <w:keepLines/>
      <w:spacing w:beforeLines="0" w:beforeAutospacing="0" w:afterLines="0" w:afterAutospacing="0" w:line="360" w:lineRule="auto"/>
      <w:jc w:val="center"/>
      <w:outlineLvl w:val="0"/>
    </w:pPr>
    <w:rPr>
      <w:rFonts w:ascii="Arial" w:hAnsi="Arial" w:eastAsia="微软雅黑"/>
      <w:b/>
      <w:kern w:val="44"/>
      <w:sz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88"/>
      <w:szCs w:val="8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WPSOffice手动目录 1"/>
    <w:qFormat/>
    <w:uiPriority w:val="0"/>
    <w:pPr>
      <w:ind w:leftChars="0"/>
    </w:pPr>
    <w:rPr>
      <w:rFonts w:ascii="Arial" w:hAnsi="Arial" w:eastAsia="Arial" w:cs="Arial"/>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7737</Words>
  <Characters>7806</Characters>
  <TotalTime>7</TotalTime>
  <ScaleCrop>false</ScaleCrop>
  <LinksUpToDate>false</LinksUpToDate>
  <CharactersWithSpaces>7856</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2024-01-18T16:14:00Z</dcterms:created>
  <dc:creator>Administrator</dc:creator>
  <cp:lastModifiedBy>张师宁</cp:lastModifiedBy>
  <cp:lastPrinted>2026-03-20T06:50:00Z</cp:lastPrinted>
  <dcterms:modified xsi:type="dcterms:W3CDTF">2026-06-12T02:21:03Z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2025-03-13T16:10:59Z</vt:filetime>
  </property>
  <property fmtid="{D5CDD505-2E9C-101B-9397-08002B2CF9AE}" pid="4" name="KSOTemplateDocerSaveRecord">
    <vt:lpwstr>eyJoZGlkIjoiYjQ0OGVmNzc3ZDcyNzQ3NjE5MGQxYzFmZTBmZTVkMjYiLCJ1c2VySWQiOiIxODU2NzU0Nzg0In0=</vt:lpwstr>
  </property>
  <property fmtid="{D5CDD505-2E9C-101B-9397-08002B2CF9AE}" pid="5" name="KSOProductBuildVer">
    <vt:lpwstr>2052-12.1.0.26895</vt:lpwstr>
  </property>
  <property fmtid="{D5CDD505-2E9C-101B-9397-08002B2CF9AE}" pid="6" name="ICV">
    <vt:lpwstr>F734937003AA4E598BE67800C2B3CD30_13</vt:lpwstr>
  </property>
</Properties>
</file>