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A8A8E">
      <w:pPr>
        <w:spacing w:line="85" w:lineRule="exact"/>
      </w:pPr>
    </w:p>
    <w:p w14:paraId="57632818">
      <w:pPr>
        <w:spacing w:line="85" w:lineRule="exact"/>
        <w:sectPr>
          <w:pgSz w:w="11907" w:h="16839"/>
          <w:pgMar w:top="1431" w:right="570" w:bottom="0" w:left="1432" w:header="0" w:footer="0" w:gutter="0"/>
          <w:pgNumType w:fmt="decimal"/>
          <w:cols w:equalWidth="0" w:num="1">
            <w:col w:w="9903"/>
          </w:cols>
        </w:sectPr>
      </w:pPr>
    </w:p>
    <w:p w14:paraId="650132FE">
      <w:pPr>
        <w:pStyle w:val="3"/>
        <w:spacing w:before="162" w:line="12869" w:lineRule="exact"/>
      </w:pPr>
      <w:r>
        <w:rPr>
          <w:position w:val="-257"/>
        </w:rPr>
        <w:pict>
          <v:shape id="_x0000_s1026" o:spid="_x0000_s1026" o:spt="202" type="#_x0000_t202" style="height:643.45pt;width:124.2pt;" fillcolor="#FF0000" filled="t" stroked="f" coordsize="21600,21600">
            <v:path/>
            <v:fill on="t" focussize="0,0"/>
            <v:stroke on="f"/>
            <v:imagedata o:title=""/>
            <o:lock v:ext="edit" aspectratio="f"/>
            <v:textbox inset="0mm,0mm,0mm,0mm" style="layout-flow:vertical-ideographic;">
              <w:txbxContent>
                <w:p w14:paraId="3E9885F4">
                  <w:pPr>
                    <w:spacing w:line="242" w:lineRule="auto"/>
                    <w:rPr>
                      <w:rFonts w:ascii="Arial"/>
                      <w:sz w:val="21"/>
                    </w:rPr>
                  </w:pPr>
                </w:p>
                <w:p w14:paraId="107C804A">
                  <w:pPr>
                    <w:spacing w:line="242" w:lineRule="auto"/>
                    <w:rPr>
                      <w:rFonts w:ascii="Arial"/>
                      <w:sz w:val="21"/>
                    </w:rPr>
                  </w:pPr>
                </w:p>
                <w:p w14:paraId="60164ACF">
                  <w:pPr>
                    <w:spacing w:before="388" w:line="177" w:lineRule="auto"/>
                    <w:ind w:firstLine="888" w:firstLineChars="100"/>
                    <w:rPr>
                      <w:rFonts w:ascii="微软雅黑" w:hAnsi="微软雅黑" w:eastAsia="微软雅黑" w:cs="微软雅黑"/>
                      <w:sz w:val="88"/>
                      <w:szCs w:val="88"/>
                    </w:rPr>
                  </w:pPr>
                  <w:bookmarkStart w:id="6" w:name="bookmark1"/>
                  <w:bookmarkEnd w:id="6"/>
                  <w:r>
                    <w:rPr>
                      <w:rFonts w:ascii="微软雅黑" w:hAnsi="微软雅黑" w:eastAsia="微软雅黑" w:cs="微软雅黑"/>
                      <w:b/>
                      <w:bCs/>
                      <w:color w:val="FFFFFF"/>
                      <w:spacing w:val="4"/>
                      <w:sz w:val="88"/>
                      <w:szCs w:val="88"/>
                    </w:rPr>
                    <w:t>理</w:t>
                  </w:r>
                  <w:r>
                    <w:rPr>
                      <w:rFonts w:ascii="微软雅黑" w:hAnsi="微软雅黑" w:eastAsia="微软雅黑" w:cs="微软雅黑"/>
                      <w:b/>
                      <w:bCs/>
                      <w:color w:val="FFFFFF"/>
                      <w:spacing w:val="194"/>
                      <w:sz w:val="88"/>
                      <w:szCs w:val="88"/>
                    </w:rPr>
                    <w:t xml:space="preserve"> </w:t>
                  </w:r>
                  <w:r>
                    <w:rPr>
                      <w:rFonts w:ascii="微软雅黑" w:hAnsi="微软雅黑" w:eastAsia="微软雅黑" w:cs="微软雅黑"/>
                      <w:b/>
                      <w:bCs/>
                      <w:color w:val="FFFFFF"/>
                      <w:spacing w:val="4"/>
                      <w:sz w:val="88"/>
                      <w:szCs w:val="88"/>
                    </w:rPr>
                    <w:t>论</w:t>
                  </w:r>
                  <w:r>
                    <w:rPr>
                      <w:rFonts w:ascii="微软雅黑" w:hAnsi="微软雅黑" w:eastAsia="微软雅黑" w:cs="微软雅黑"/>
                      <w:b/>
                      <w:bCs/>
                      <w:color w:val="FFFFFF"/>
                      <w:spacing w:val="147"/>
                      <w:sz w:val="88"/>
                      <w:szCs w:val="88"/>
                    </w:rPr>
                    <w:t xml:space="preserve"> </w:t>
                  </w:r>
                  <w:r>
                    <w:rPr>
                      <w:rFonts w:ascii="微软雅黑" w:hAnsi="微软雅黑" w:eastAsia="微软雅黑" w:cs="微软雅黑"/>
                      <w:b/>
                      <w:bCs/>
                      <w:color w:val="FFFFFF"/>
                      <w:spacing w:val="4"/>
                      <w:sz w:val="88"/>
                      <w:szCs w:val="88"/>
                    </w:rPr>
                    <w:t>中</w:t>
                  </w:r>
                  <w:r>
                    <w:rPr>
                      <w:rFonts w:ascii="微软雅黑" w:hAnsi="微软雅黑" w:eastAsia="微软雅黑" w:cs="微软雅黑"/>
                      <w:b/>
                      <w:bCs/>
                      <w:color w:val="FFFFFF"/>
                      <w:spacing w:val="164"/>
                      <w:sz w:val="88"/>
                      <w:szCs w:val="88"/>
                    </w:rPr>
                    <w:t xml:space="preserve"> </w:t>
                  </w:r>
                  <w:r>
                    <w:rPr>
                      <w:rFonts w:ascii="微软雅黑" w:hAnsi="微软雅黑" w:eastAsia="微软雅黑" w:cs="微软雅黑"/>
                      <w:b/>
                      <w:bCs/>
                      <w:color w:val="FFFFFF"/>
                      <w:spacing w:val="4"/>
                      <w:sz w:val="88"/>
                      <w:szCs w:val="88"/>
                    </w:rPr>
                    <w:t>心</w:t>
                  </w:r>
                  <w:r>
                    <w:rPr>
                      <w:rFonts w:ascii="微软雅黑" w:hAnsi="微软雅黑" w:eastAsia="微软雅黑" w:cs="微软雅黑"/>
                      <w:b/>
                      <w:bCs/>
                      <w:color w:val="FFFFFF"/>
                      <w:spacing w:val="141"/>
                      <w:sz w:val="88"/>
                      <w:szCs w:val="88"/>
                    </w:rPr>
                    <w:t xml:space="preserve"> </w:t>
                  </w:r>
                  <w:r>
                    <w:rPr>
                      <w:rFonts w:ascii="微软雅黑" w:hAnsi="微软雅黑" w:eastAsia="微软雅黑" w:cs="微软雅黑"/>
                      <w:b/>
                      <w:bCs/>
                      <w:color w:val="FFFFFF"/>
                      <w:spacing w:val="4"/>
                      <w:sz w:val="88"/>
                      <w:szCs w:val="88"/>
                    </w:rPr>
                    <w:t>组</w:t>
                  </w:r>
                  <w:r>
                    <w:rPr>
                      <w:rFonts w:ascii="微软雅黑" w:hAnsi="微软雅黑" w:eastAsia="微软雅黑" w:cs="微软雅黑"/>
                      <w:b/>
                      <w:bCs/>
                      <w:color w:val="FFFFFF"/>
                      <w:spacing w:val="160"/>
                      <w:sz w:val="88"/>
                      <w:szCs w:val="88"/>
                    </w:rPr>
                    <w:t xml:space="preserve"> </w:t>
                  </w:r>
                  <w:r>
                    <w:rPr>
                      <w:rFonts w:ascii="微软雅黑" w:hAnsi="微软雅黑" w:eastAsia="微软雅黑" w:cs="微软雅黑"/>
                      <w:b/>
                      <w:bCs/>
                      <w:color w:val="FFFFFF"/>
                      <w:spacing w:val="4"/>
                      <w:sz w:val="88"/>
                      <w:szCs w:val="88"/>
                    </w:rPr>
                    <w:t>学</w:t>
                  </w:r>
                  <w:r>
                    <w:rPr>
                      <w:rFonts w:ascii="微软雅黑" w:hAnsi="微软雅黑" w:eastAsia="微软雅黑" w:cs="微软雅黑"/>
                      <w:b/>
                      <w:bCs/>
                      <w:color w:val="FFFFFF"/>
                      <w:spacing w:val="155"/>
                      <w:sz w:val="88"/>
                      <w:szCs w:val="88"/>
                    </w:rPr>
                    <w:t xml:space="preserve"> </w:t>
                  </w:r>
                  <w:r>
                    <w:rPr>
                      <w:rFonts w:ascii="微软雅黑" w:hAnsi="微软雅黑" w:eastAsia="微软雅黑" w:cs="微软雅黑"/>
                      <w:b/>
                      <w:bCs/>
                      <w:color w:val="FFFFFF"/>
                      <w:spacing w:val="4"/>
                      <w:sz w:val="88"/>
                      <w:szCs w:val="88"/>
                    </w:rPr>
                    <w:t>习</w:t>
                  </w:r>
                  <w:r>
                    <w:rPr>
                      <w:rFonts w:ascii="微软雅黑" w:hAnsi="微软雅黑" w:eastAsia="微软雅黑" w:cs="微软雅黑"/>
                      <w:b/>
                      <w:bCs/>
                      <w:color w:val="FFFFFF"/>
                      <w:spacing w:val="140"/>
                      <w:sz w:val="88"/>
                      <w:szCs w:val="88"/>
                    </w:rPr>
                    <w:t xml:space="preserve"> </w:t>
                  </w:r>
                  <w:r>
                    <w:rPr>
                      <w:rFonts w:ascii="微软雅黑" w:hAnsi="微软雅黑" w:eastAsia="微软雅黑" w:cs="微软雅黑"/>
                      <w:b/>
                      <w:bCs/>
                      <w:color w:val="FFFFFF"/>
                      <w:spacing w:val="4"/>
                      <w:sz w:val="88"/>
                      <w:szCs w:val="88"/>
                    </w:rPr>
                    <w:t>材</w:t>
                  </w:r>
                  <w:r>
                    <w:rPr>
                      <w:rFonts w:ascii="微软雅黑" w:hAnsi="微软雅黑" w:eastAsia="微软雅黑" w:cs="微软雅黑"/>
                      <w:b/>
                      <w:bCs/>
                      <w:color w:val="FFFFFF"/>
                      <w:spacing w:val="149"/>
                      <w:sz w:val="88"/>
                      <w:szCs w:val="88"/>
                    </w:rPr>
                    <w:t xml:space="preserve"> </w:t>
                  </w:r>
                  <w:r>
                    <w:rPr>
                      <w:rFonts w:ascii="微软雅黑" w:hAnsi="微软雅黑" w:eastAsia="微软雅黑" w:cs="微软雅黑"/>
                      <w:b/>
                      <w:bCs/>
                      <w:color w:val="FFFFFF"/>
                      <w:spacing w:val="4"/>
                      <w:sz w:val="88"/>
                      <w:szCs w:val="88"/>
                    </w:rPr>
                    <w:t>料</w:t>
                  </w:r>
                </w:p>
                <w:p w14:paraId="5DF8A1F5">
                  <w:pPr>
                    <w:spacing w:before="388" w:line="177" w:lineRule="auto"/>
                    <w:rPr>
                      <w:rFonts w:ascii="微软雅黑" w:hAnsi="微软雅黑" w:eastAsia="微软雅黑" w:cs="微软雅黑"/>
                      <w:sz w:val="88"/>
                      <w:szCs w:val="88"/>
                    </w:rPr>
                  </w:pPr>
                </w:p>
              </w:txbxContent>
            </v:textbox>
            <w10:wrap type="none"/>
            <w10:anchorlock/>
          </v:shape>
        </w:pict>
      </w:r>
    </w:p>
    <w:p w14:paraId="794522ED">
      <w:pPr>
        <w:spacing w:line="14" w:lineRule="auto"/>
        <w:rPr>
          <w:rFonts w:ascii="Arial"/>
          <w:sz w:val="2"/>
        </w:rPr>
      </w:pPr>
      <w:r>
        <w:rPr>
          <w:rFonts w:ascii="Arial" w:hAnsi="Arial" w:eastAsia="Arial" w:cs="Arial"/>
          <w:sz w:val="2"/>
          <w:szCs w:val="2"/>
        </w:rPr>
        <w:br w:type="column"/>
      </w:r>
    </w:p>
    <w:p w14:paraId="490CE356">
      <w:pPr>
        <w:pStyle w:val="3"/>
        <w:spacing w:before="324" w:line="212" w:lineRule="auto"/>
        <w:ind w:left="1900"/>
        <w:rPr>
          <w:sz w:val="40"/>
          <w:szCs w:val="40"/>
        </w:rPr>
      </w:pPr>
      <w:r>
        <w:rPr>
          <w:spacing w:val="-28"/>
          <w:sz w:val="40"/>
          <w:szCs w:val="40"/>
        </w:rPr>
        <w:t>202</w:t>
      </w:r>
      <w:r>
        <w:rPr>
          <w:rFonts w:hint="eastAsia"/>
          <w:spacing w:val="-28"/>
          <w:sz w:val="40"/>
          <w:szCs w:val="40"/>
          <w:lang w:val="en-US" w:eastAsia="zh-CN"/>
        </w:rPr>
        <w:t>6</w:t>
      </w:r>
      <w:r>
        <w:rPr>
          <w:spacing w:val="-28"/>
          <w:sz w:val="40"/>
          <w:szCs w:val="40"/>
        </w:rPr>
        <w:t xml:space="preserve"> 年</w:t>
      </w:r>
      <w:r>
        <w:rPr>
          <w:rFonts w:hint="eastAsia"/>
          <w:spacing w:val="-28"/>
          <w:sz w:val="40"/>
          <w:szCs w:val="40"/>
          <w:lang w:val="en-US" w:eastAsia="zh-CN"/>
        </w:rPr>
        <w:t xml:space="preserve"> 5</w:t>
      </w:r>
      <w:r>
        <w:rPr>
          <w:spacing w:val="-28"/>
          <w:sz w:val="40"/>
          <w:szCs w:val="40"/>
        </w:rPr>
        <w:t>月</w:t>
      </w:r>
      <w:r>
        <w:rPr>
          <w:rFonts w:hint="eastAsia"/>
          <w:spacing w:val="-28"/>
          <w:sz w:val="40"/>
          <w:szCs w:val="40"/>
          <w:lang w:val="en-US" w:eastAsia="zh-CN"/>
        </w:rPr>
        <w:t xml:space="preserve"> 28 </w:t>
      </w:r>
      <w:r>
        <w:rPr>
          <w:spacing w:val="-28"/>
          <w:sz w:val="40"/>
          <w:szCs w:val="40"/>
        </w:rPr>
        <w:t>日</w:t>
      </w:r>
    </w:p>
    <w:p w14:paraId="654E6B26">
      <w:pPr>
        <w:pStyle w:val="3"/>
        <w:spacing w:before="218" w:line="207" w:lineRule="auto"/>
        <w:ind w:left="2203"/>
        <w:rPr>
          <w:rFonts w:ascii="Arial"/>
          <w:sz w:val="21"/>
        </w:rPr>
      </w:pPr>
      <w:r>
        <w:rPr>
          <w:spacing w:val="-10"/>
          <w:sz w:val="28"/>
          <w:szCs w:val="28"/>
        </w:rPr>
        <w:t>（202</w:t>
      </w:r>
      <w:r>
        <w:rPr>
          <w:rFonts w:hint="eastAsia"/>
          <w:spacing w:val="-10"/>
          <w:sz w:val="28"/>
          <w:szCs w:val="28"/>
          <w:lang w:val="en-US" w:eastAsia="zh-CN"/>
        </w:rPr>
        <w:t>6</w:t>
      </w:r>
      <w:r>
        <w:rPr>
          <w:spacing w:val="-10"/>
          <w:sz w:val="28"/>
          <w:szCs w:val="28"/>
        </w:rPr>
        <w:t xml:space="preserve"> 年</w:t>
      </w:r>
      <w:r>
        <w:rPr>
          <w:rFonts w:hint="eastAsia"/>
          <w:spacing w:val="-10"/>
          <w:sz w:val="28"/>
          <w:szCs w:val="28"/>
          <w:lang w:val="en-US" w:eastAsia="zh-CN"/>
        </w:rPr>
        <w:t xml:space="preserve"> </w:t>
      </w:r>
      <w:r>
        <w:rPr>
          <w:spacing w:val="-10"/>
          <w:sz w:val="28"/>
          <w:szCs w:val="28"/>
        </w:rPr>
        <w:t xml:space="preserve">第 </w:t>
      </w:r>
      <w:r>
        <w:rPr>
          <w:rFonts w:hint="eastAsia"/>
          <w:spacing w:val="-10"/>
          <w:sz w:val="28"/>
          <w:szCs w:val="28"/>
          <w:lang w:val="en-US" w:eastAsia="zh-CN"/>
        </w:rPr>
        <w:t xml:space="preserve">10 </w:t>
      </w:r>
      <w:r>
        <w:rPr>
          <w:spacing w:val="-10"/>
          <w:sz w:val="28"/>
          <w:szCs w:val="28"/>
        </w:rPr>
        <w:t>期）</w:t>
      </w:r>
    </w:p>
    <w:p w14:paraId="2364156B">
      <w:pPr>
        <w:spacing w:line="260" w:lineRule="auto"/>
        <w:rPr>
          <w:rFonts w:ascii="Arial"/>
          <w:sz w:val="21"/>
        </w:rPr>
      </w:pPr>
    </w:p>
    <w:sdt>
      <w:sdtPr>
        <w:rPr>
          <w:rFonts w:hint="eastAsia" w:ascii="楷体" w:hAnsi="楷体" w:eastAsia="楷体" w:cs="楷体"/>
          <w:snapToGrid w:val="0"/>
          <w:color w:val="000000"/>
          <w:kern w:val="0"/>
          <w:sz w:val="21"/>
          <w:szCs w:val="21"/>
          <w:lang w:val="en-US" w:eastAsia="en-US" w:bidi="ar-SA"/>
        </w:rPr>
        <w:id w:val="147466167"/>
        <w15:color w:val="DBDBDB"/>
        <w:docPartObj>
          <w:docPartGallery w:val="Table of Contents"/>
          <w:docPartUnique/>
        </w:docPartObj>
      </w:sdtPr>
      <w:sdtEndPr>
        <w:rPr>
          <w:rFonts w:hint="eastAsia" w:ascii="楷体" w:hAnsi="楷体" w:eastAsia="楷体" w:cs="楷体"/>
          <w:snapToGrid w:val="0"/>
          <w:color w:val="000000"/>
          <w:kern w:val="0"/>
          <w:sz w:val="31"/>
          <w:szCs w:val="31"/>
          <w:lang w:val="en-US" w:eastAsia="en-US" w:bidi="ar-SA"/>
        </w:rPr>
      </w:sdtEndPr>
      <w:sdtContent>
        <w:p w14:paraId="0C87FECD">
          <w:pPr>
            <w:spacing w:before="0" w:beforeLines="0" w:after="0" w:afterLines="0" w:line="240" w:lineRule="auto"/>
            <w:ind w:left="0" w:leftChars="0" w:right="0" w:rightChars="0" w:firstLine="0" w:firstLineChars="0"/>
            <w:jc w:val="center"/>
            <w:rPr>
              <w:rFonts w:hint="eastAsia" w:ascii="楷体" w:hAnsi="楷体" w:eastAsia="楷体" w:cs="楷体"/>
              <w:sz w:val="31"/>
              <w:szCs w:val="31"/>
            </w:rPr>
          </w:pPr>
          <w:r>
            <w:rPr>
              <w:rFonts w:hint="eastAsia" w:ascii="楷体" w:hAnsi="楷体" w:eastAsia="楷体" w:cs="楷体"/>
              <w:sz w:val="31"/>
              <w:szCs w:val="31"/>
            </w:rPr>
            <w:t>目</w:t>
          </w:r>
          <w:r>
            <w:rPr>
              <w:rFonts w:hint="eastAsia" w:ascii="楷体" w:hAnsi="楷体" w:eastAsia="楷体" w:cs="楷体"/>
              <w:sz w:val="31"/>
              <w:szCs w:val="31"/>
              <w:lang w:val="en-US" w:eastAsia="zh-CN"/>
            </w:rPr>
            <w:t xml:space="preserve">  </w:t>
          </w:r>
          <w:r>
            <w:rPr>
              <w:rFonts w:hint="eastAsia" w:ascii="楷体" w:hAnsi="楷体" w:eastAsia="楷体" w:cs="楷体"/>
              <w:sz w:val="31"/>
              <w:szCs w:val="31"/>
            </w:rPr>
            <w:t>录</w:t>
          </w:r>
        </w:p>
        <w:p w14:paraId="127F3A69">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480" w:lineRule="exact"/>
            <w:textAlignment w:val="baseline"/>
            <w:rPr>
              <w:rFonts w:hint="eastAsia" w:ascii="楷体" w:hAnsi="楷体" w:eastAsia="楷体" w:cs="楷体"/>
              <w:sz w:val="31"/>
              <w:szCs w:val="31"/>
            </w:rPr>
          </w:pP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TOC \o "1-3" \h \u </w:instrText>
          </w:r>
          <w:r>
            <w:rPr>
              <w:rFonts w:hint="eastAsia" w:ascii="楷体" w:hAnsi="楷体" w:eastAsia="楷体" w:cs="楷体"/>
              <w:sz w:val="31"/>
              <w:szCs w:val="31"/>
            </w:rPr>
            <w:fldChar w:fldCharType="separate"/>
          </w:r>
        </w:p>
        <w:p w14:paraId="3EFFC6E5">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480" w:lineRule="exact"/>
            <w:textAlignment w:val="baseline"/>
            <w:rPr>
              <w:rFonts w:hint="eastAsia" w:ascii="楷体" w:hAnsi="楷体" w:eastAsia="楷体" w:cs="楷体"/>
              <w:sz w:val="31"/>
              <w:szCs w:val="31"/>
            </w:rPr>
          </w:pPr>
          <w:r>
            <w:rPr>
              <w:rFonts w:hint="eastAsia" w:ascii="楷体" w:hAnsi="楷体" w:eastAsia="楷体" w:cs="楷体"/>
              <w:sz w:val="31"/>
              <w:szCs w:val="31"/>
              <w:lang w:val="en-US" w:eastAsia="zh-CN"/>
            </w:rPr>
            <w:t>1.</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_Toc19553 </w:instrText>
          </w:r>
          <w:r>
            <w:rPr>
              <w:rFonts w:hint="eastAsia" w:ascii="楷体" w:hAnsi="楷体" w:eastAsia="楷体" w:cs="楷体"/>
              <w:sz w:val="31"/>
              <w:szCs w:val="31"/>
            </w:rPr>
            <w:fldChar w:fldCharType="separate"/>
          </w:r>
          <w:r>
            <w:rPr>
              <w:rFonts w:hint="eastAsia" w:ascii="楷体" w:hAnsi="楷体" w:eastAsia="楷体" w:cs="楷体"/>
              <w:sz w:val="31"/>
              <w:szCs w:val="31"/>
              <w:lang w:val="en-US" w:eastAsia="zh-CN"/>
            </w:rPr>
            <w:t>习近平就推动哲学社会科学高质量发展作出重要指示</w:t>
          </w:r>
          <w:r>
            <w:rPr>
              <w:rFonts w:hint="eastAsia" w:ascii="楷体" w:hAnsi="楷体" w:eastAsia="楷体" w:cs="楷体"/>
              <w:sz w:val="31"/>
              <w:szCs w:val="31"/>
            </w:rPr>
            <w:tab/>
          </w:r>
          <w:r>
            <w:rPr>
              <w:rFonts w:hint="eastAsia" w:ascii="楷体" w:hAnsi="楷体" w:eastAsia="楷体" w:cs="楷体"/>
              <w:sz w:val="31"/>
              <w:szCs w:val="31"/>
              <w:lang w:val="en-US" w:eastAsia="zh-CN"/>
            </w:rPr>
            <w:t>1</w:t>
          </w:r>
          <w:r>
            <w:rPr>
              <w:rFonts w:hint="eastAsia" w:ascii="楷体" w:hAnsi="楷体" w:eastAsia="楷体" w:cs="楷体"/>
              <w:sz w:val="31"/>
              <w:szCs w:val="31"/>
            </w:rPr>
            <w:fldChar w:fldCharType="end"/>
          </w:r>
        </w:p>
        <w:p w14:paraId="17EACB90">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480" w:lineRule="exact"/>
            <w:textAlignment w:val="baseline"/>
            <w:rPr>
              <w:rFonts w:hint="eastAsia" w:ascii="楷体" w:hAnsi="楷体" w:eastAsia="楷体" w:cs="楷体"/>
              <w:sz w:val="31"/>
              <w:szCs w:val="31"/>
            </w:rPr>
          </w:pPr>
          <w:r>
            <w:rPr>
              <w:rFonts w:hint="eastAsia" w:ascii="楷体" w:hAnsi="楷体" w:eastAsia="楷体" w:cs="楷体"/>
              <w:sz w:val="31"/>
              <w:szCs w:val="31"/>
              <w:lang w:val="en-US" w:eastAsia="zh-CN"/>
            </w:rPr>
            <w:t>2.</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_Toc6638 </w:instrText>
          </w:r>
          <w:r>
            <w:rPr>
              <w:rFonts w:hint="eastAsia" w:ascii="楷体" w:hAnsi="楷体" w:eastAsia="楷体" w:cs="楷体"/>
              <w:sz w:val="31"/>
              <w:szCs w:val="31"/>
            </w:rPr>
            <w:fldChar w:fldCharType="separate"/>
          </w:r>
          <w:r>
            <w:rPr>
              <w:rFonts w:hint="eastAsia" w:ascii="楷体" w:hAnsi="楷体" w:eastAsia="楷体" w:cs="楷体"/>
              <w:sz w:val="31"/>
              <w:szCs w:val="31"/>
              <w:lang w:val="en-US" w:eastAsia="zh-CN"/>
            </w:rPr>
            <w:t>习近平对山西长治市沁源县一煤矿瓦斯爆炸事故作出重要指示</w:t>
          </w:r>
          <w:r>
            <w:rPr>
              <w:rFonts w:hint="eastAsia" w:ascii="楷体" w:hAnsi="楷体" w:eastAsia="楷体" w:cs="楷体"/>
              <w:sz w:val="31"/>
              <w:szCs w:val="31"/>
            </w:rPr>
            <w:tab/>
          </w:r>
          <w:r>
            <w:rPr>
              <w:rFonts w:hint="eastAsia" w:ascii="楷体" w:hAnsi="楷体" w:eastAsia="楷体" w:cs="楷体"/>
              <w:sz w:val="31"/>
              <w:szCs w:val="31"/>
              <w:lang w:val="en-US" w:eastAsia="zh-CN"/>
            </w:rPr>
            <w:t>2</w:t>
          </w:r>
          <w:r>
            <w:rPr>
              <w:rFonts w:hint="eastAsia" w:ascii="楷体" w:hAnsi="楷体" w:eastAsia="楷体" w:cs="楷体"/>
              <w:sz w:val="31"/>
              <w:szCs w:val="31"/>
            </w:rPr>
            <w:fldChar w:fldCharType="end"/>
          </w:r>
        </w:p>
        <w:p w14:paraId="1378D173">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rPr>
              <w:rFonts w:hint="eastAsia" w:ascii="楷体" w:hAnsi="楷体" w:eastAsia="楷体" w:cs="楷体"/>
              <w:sz w:val="31"/>
              <w:szCs w:val="31"/>
              <w:lang w:val="en-US" w:eastAsia="zh-CN"/>
            </w:rPr>
          </w:pPr>
          <w:r>
            <w:rPr>
              <w:rFonts w:hint="eastAsia" w:ascii="楷体" w:hAnsi="楷体" w:eastAsia="楷体" w:cs="楷体"/>
              <w:sz w:val="31"/>
              <w:szCs w:val="31"/>
              <w:lang w:val="en-US" w:eastAsia="zh-CN"/>
            </w:rPr>
            <w:t>3.中共中央办公厅 国务院办公厅关于更高水平更高质量做好节能降碳工作的意见</w:t>
          </w:r>
          <w:r>
            <w:rPr>
              <w:rFonts w:hint="eastAsia" w:ascii="楷体" w:hAnsi="楷体" w:eastAsia="楷体" w:cs="楷体"/>
              <w:sz w:val="31"/>
              <w:szCs w:val="31"/>
              <w:lang w:eastAsia="zh-CN"/>
            </w:rPr>
            <w:t>………………</w:t>
          </w:r>
          <w:r>
            <w:rPr>
              <w:rFonts w:hint="eastAsia" w:ascii="楷体" w:hAnsi="楷体" w:eastAsia="楷体" w:cs="楷体"/>
              <w:sz w:val="31"/>
              <w:szCs w:val="31"/>
              <w:lang w:val="en-US" w:eastAsia="zh-CN"/>
            </w:rPr>
            <w:t>4</w:t>
          </w:r>
        </w:p>
        <w:p w14:paraId="4CD1749F">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rPr>
              <w:rFonts w:hint="default" w:ascii="楷体" w:hAnsi="楷体" w:eastAsia="楷体" w:cs="楷体"/>
              <w:sz w:val="31"/>
              <w:szCs w:val="31"/>
              <w:lang w:val="en-US" w:eastAsia="zh-CN"/>
            </w:rPr>
          </w:pPr>
          <w:r>
            <w:rPr>
              <w:rFonts w:hint="eastAsia" w:ascii="楷体" w:hAnsi="楷体" w:eastAsia="楷体" w:cs="楷体"/>
              <w:sz w:val="31"/>
              <w:szCs w:val="31"/>
              <w:lang w:val="en-US" w:eastAsia="zh-CN"/>
            </w:rPr>
            <w:t>4.中共中央办公厅印发《中国共产党发展党员 工作细则》……………………………………………12</w:t>
          </w:r>
        </w:p>
        <w:p w14:paraId="41DAD213">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480" w:lineRule="exact"/>
            <w:textAlignment w:val="baseline"/>
            <w:rPr>
              <w:rFonts w:hint="default" w:ascii="楷体" w:hAnsi="楷体" w:eastAsia="楷体" w:cs="楷体"/>
              <w:sz w:val="31"/>
              <w:szCs w:val="31"/>
              <w:lang w:val="en-US" w:eastAsia="zh-CN"/>
            </w:rPr>
          </w:pPr>
          <w:r>
            <w:rPr>
              <w:rFonts w:hint="eastAsia" w:ascii="楷体" w:hAnsi="楷体" w:eastAsia="楷体" w:cs="楷体"/>
              <w:sz w:val="31"/>
              <w:szCs w:val="31"/>
              <w:lang w:val="en-US" w:eastAsia="zh-CN"/>
            </w:rPr>
            <w:t>5.《习近平关于树立和践行正确政绩观论述摘编》第五章</w:t>
          </w:r>
        </w:p>
        <w:p w14:paraId="0F5CAA8E">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rPr>
              <w:rFonts w:hint="default" w:ascii="楷体" w:hAnsi="楷体" w:eastAsia="楷体" w:cs="楷体"/>
              <w:sz w:val="31"/>
              <w:szCs w:val="31"/>
              <w:lang w:val="en-US" w:eastAsia="zh-CN"/>
            </w:rPr>
          </w:pPr>
        </w:p>
        <w:p w14:paraId="1BDCF272">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480" w:lineRule="exact"/>
            <w:textAlignment w:val="baseline"/>
            <w:rPr>
              <w:rFonts w:hint="eastAsia" w:ascii="楷体" w:hAnsi="楷体" w:eastAsia="楷体" w:cs="楷体"/>
              <w:snapToGrid w:val="0"/>
              <w:color w:val="000000"/>
              <w:kern w:val="0"/>
              <w:sz w:val="31"/>
              <w:szCs w:val="31"/>
              <w:lang w:val="en-US" w:eastAsia="en-US" w:bidi="ar-SA"/>
            </w:rPr>
          </w:pPr>
          <w:r>
            <w:rPr>
              <w:rFonts w:hint="eastAsia" w:ascii="楷体" w:hAnsi="楷体" w:eastAsia="楷体" w:cs="楷体"/>
              <w:szCs w:val="31"/>
            </w:rPr>
            <w:fldChar w:fldCharType="end"/>
          </w:r>
        </w:p>
      </w:sdtContent>
    </w:sdt>
    <w:p w14:paraId="4F3DCEE5">
      <w:pPr>
        <w:spacing w:line="210" w:lineRule="auto"/>
        <w:rPr>
          <w:rFonts w:ascii="华文楷体" w:hAnsi="华文楷体" w:eastAsia="华文楷体" w:cs="华文楷体"/>
          <w:snapToGrid w:val="0"/>
          <w:color w:val="000000"/>
          <w:kern w:val="0"/>
          <w:sz w:val="21"/>
          <w:szCs w:val="31"/>
          <w:lang w:val="en-US" w:eastAsia="en-US" w:bidi="ar-SA"/>
        </w:rPr>
        <w:sectPr>
          <w:type w:val="continuous"/>
          <w:pgSz w:w="11907" w:h="16839"/>
          <w:pgMar w:top="1431" w:right="570" w:bottom="0" w:left="1432" w:header="0" w:footer="0" w:gutter="0"/>
          <w:pgNumType w:fmt="decimal"/>
          <w:cols w:equalWidth="0" w:num="2">
            <w:col w:w="2909" w:space="100"/>
            <w:col w:w="6895"/>
          </w:cols>
        </w:sectPr>
      </w:pPr>
      <w:r>
        <w:rPr>
          <w:rFonts w:hint="eastAsia" w:ascii="楷体" w:hAnsi="楷体" w:eastAsia="楷体" w:cs="楷体"/>
          <w:sz w:val="31"/>
          <w:szCs w:val="31"/>
        </w:rPr>
        <w:tab/>
      </w:r>
      <w:bookmarkStart w:id="7" w:name="_GoBack"/>
      <w:bookmarkEnd w:id="7"/>
    </w:p>
    <w:p w14:paraId="5483C5A7">
      <w:pPr>
        <w:pStyle w:val="2"/>
        <w:bidi w:val="0"/>
        <w:rPr>
          <w:rFonts w:hint="eastAsia"/>
          <w:lang w:val="en-US" w:eastAsia="zh-CN"/>
        </w:rPr>
      </w:pPr>
      <w:bookmarkStart w:id="0" w:name="bookmark19"/>
      <w:bookmarkEnd w:id="0"/>
      <w:bookmarkStart w:id="1" w:name="bookmark5"/>
      <w:bookmarkEnd w:id="1"/>
      <w:bookmarkStart w:id="2" w:name="bookmark17"/>
      <w:bookmarkEnd w:id="2"/>
      <w:bookmarkStart w:id="3" w:name="_Toc19553"/>
      <w:r>
        <w:rPr>
          <w:rFonts w:hint="eastAsia"/>
          <w:lang w:val="en-US" w:eastAsia="zh-CN"/>
        </w:rPr>
        <w:t>习近平就推动哲学社会科学高质量发展作出重要指示</w:t>
      </w:r>
      <w:bookmarkEnd w:id="3"/>
    </w:p>
    <w:p w14:paraId="4439D1A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新华社北京5月17日电  中共中央总书记、国家主席、中央军委主席习近平近日就推动哲学社会科学高质量发展作出重要指示指出，党的十八大以来，哲学社会科学战线认真贯彻落实党中央决策部署，坚持“两个结合”,扎实推进知识创新、理论创新、方法创新，推出一批有价值的研究成果，有力服务了党和国家工作大局。</w:t>
      </w:r>
    </w:p>
    <w:p w14:paraId="74802A1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强调，新征程上，要以新时代中国特色社会主义思想为指导，坚持和加强党的全面领导，深化党的创新理论体系化学理化研究阐释，加快构建中国哲学社会科学自主知识体系，更好回答中国之问、世界之问、人民之问、时代之问，努力开创哲学社会科学高质量发展新局面，为中国式现代化建设贡献更多智慧和力量。</w:t>
      </w:r>
    </w:p>
    <w:p w14:paraId="29F56C4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sectPr>
          <w:footerReference r:id="rId5" w:type="default"/>
          <w:pgSz w:w="11900" w:h="16840"/>
          <w:pgMar w:top="1431" w:right="1496" w:bottom="1379" w:left="1489" w:header="0" w:footer="1261" w:gutter="0"/>
          <w:pgNumType w:fmt="decimal" w:start="1"/>
          <w:cols w:space="720" w:num="1"/>
        </w:sectPr>
      </w:pPr>
    </w:p>
    <w:p w14:paraId="54D74D3B">
      <w:pPr>
        <w:pStyle w:val="2"/>
        <w:bidi w:val="0"/>
        <w:rPr>
          <w:rFonts w:hint="eastAsia"/>
          <w:lang w:val="en-US" w:eastAsia="zh-CN"/>
        </w:rPr>
      </w:pPr>
      <w:bookmarkStart w:id="4" w:name="_Toc6638"/>
      <w:r>
        <w:rPr>
          <w:rFonts w:hint="eastAsia"/>
          <w:lang w:val="en-US" w:eastAsia="zh-CN"/>
        </w:rPr>
        <w:t>习近平对山西长治市沁源县一煤矿瓦斯爆炸事故作出重要指示</w:t>
      </w:r>
      <w:bookmarkEnd w:id="4"/>
    </w:p>
    <w:p w14:paraId="5972756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新华社北京5月23日电  5月22日19时29分，山西长治市沁源县山西通洲集团留神峪煤业有限公司井下发生瓦斯爆炸事故，造成重大人员伤亡。</w:t>
      </w:r>
    </w:p>
    <w:p w14:paraId="3AC4C57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事故发生后，中共中央总书记、国家主席、中央军委主席习近平高度重视并作出重要指示指出，山西长治市沁源县一煤矿井下发生瓦斯爆炸事故，造成重大人员伤亡。要全力救治伤员，科学组织搜救，妥善做好善后处置工作。要查明事故原因，依法严肃追责。</w:t>
      </w:r>
    </w:p>
    <w:p w14:paraId="712FBA6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强调，各地区各部门要汲取事故教训，时刻绷紧安全生产这根弦，深入排查整治各类风险隐患，坚决防范遏制重特大事故发生。当前正值汛期，要加强应急值守，扎实做好防汛救灾工作，切实维护人民群众生命财产安全。</w:t>
      </w:r>
    </w:p>
    <w:p w14:paraId="125A6E6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中共中央政治局常委、国务院总理李强作出批示指出，要全力搜救被困人员、救治伤员，做好善后工作，及时准确发布信息，尽快查明事故原因并依法依规严肃问责。国务院安委办要进一步督促指导各地各有关方面强化安全生产责任落实，切实抓好重点行业领域安全隐患排查整治，坚决防范重特大事故发生。</w:t>
      </w:r>
    </w:p>
    <w:p w14:paraId="0F2FCA8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根据习近平重要指示和李强要求，中共中央政治局委员、国务院副总理张国清率有关部门负责同志赶赴现场指导救援处置工作。山西省委、省政府主要负责同志已在现场指挥应急处置工作，山西省、长治市全力做好伤员救治、现场救援等工作。目前，有关工作正在进行中。</w:t>
      </w:r>
    </w:p>
    <w:p w14:paraId="3BC8550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150DBB5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E536F5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09443EF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5778ABF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3DE8078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12C2454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7FBC9A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182D85B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9DD495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ECEC99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53B8D3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2F111A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3F644C7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9BD649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03292A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505A3CB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5BFA7B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7165EA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3C5450D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92FB4EB">
      <w:pPr>
        <w:pStyle w:val="2"/>
        <w:bidi w:val="0"/>
        <w:rPr>
          <w:rFonts w:hint="eastAsia"/>
          <w:lang w:val="en-US" w:eastAsia="zh-CN"/>
        </w:rPr>
      </w:pPr>
      <w:r>
        <w:rPr>
          <w:rFonts w:hint="eastAsia"/>
          <w:lang w:val="en-US" w:eastAsia="zh-CN"/>
        </w:rPr>
        <w:t>中共中央办公厅国务院办公厅关于更高水平</w:t>
      </w:r>
      <w:bookmarkStart w:id="5" w:name="bookmark7"/>
      <w:bookmarkEnd w:id="5"/>
      <w:r>
        <w:rPr>
          <w:rFonts w:hint="eastAsia"/>
          <w:lang w:val="en-US" w:eastAsia="zh-CN"/>
        </w:rPr>
        <w:t>更高质量做好节能降碳工作的意见</w:t>
      </w:r>
    </w:p>
    <w:p w14:paraId="2D615F1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(2026年4月11日)</w:t>
      </w:r>
    </w:p>
    <w:p w14:paraId="0542036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节能降碳是推进碳达峰碳中和、加快发展方式绿色转型的重要抓手，是维护国家能源安全、促进产业提质升级的重要支撑。为更高水平、更高质量做好节能降碳工作，经党中央、国务院同意，现提出如下意见。</w:t>
      </w:r>
    </w:p>
    <w:p w14:paraId="4E3BFDF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一、总体要求</w:t>
      </w:r>
    </w:p>
    <w:p w14:paraId="67FE2EB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坚持以习近平新时代中国特色社会主义思想为指导，深入贯彻党的二十大和二十届历次全会精神，认真落实四中全会部署，完整准确全面贯彻新发展理念，坚持稳中求进工作总基调，坚持有效市场和有为政府相结合，统筹发展和安全，一以贯之坚持节约优先方针，把节能降碳贯穿经济社会发展全过程各方面，更高水平、更高质量做好节能降碳工作，坚决遏制能源消费总量不合理增长，持续提升能源资源产出效率，从源头有效减少碳排放，为实现碳达峰碳中和、加快经济社会发展全面绿色转型提供有力保障。</w:t>
      </w:r>
    </w:p>
    <w:p w14:paraId="48BBCA9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二、协同推进节能降碳与绿色转型</w:t>
      </w:r>
    </w:p>
    <w:p w14:paraId="1655786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一)统筹节能降碳与产业优化升级。加强节能降碳与产业规划、产能调控等政策衔接协同，强化节能降碳激励约束和标准提升引领，持续降低产业对能源的依赖。大力推广节能低碳、清洁生产技术装备和产品，积极推行市场化节能降碳服务，支持运用数智技术、绿色技术改造提升传统产业。有力有效管控高耗能高排放项目，依法有序推进落后低效产能和工艺设备出清，协同化解重点产业结构性矛盾。加快发展先进制造业、高新技术产业和现代服务业，大力发展绿色低碳产业，积极培育有利于节能降碳的新产业、新业态。推进零碳园区建设，发展以绿色能源制造绿色产品的“以绿制绿”模式。</w:t>
      </w:r>
    </w:p>
    <w:p w14:paraId="2E5D864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二)统筹节能降碳与能源绿色转型。处理好节能降碳和能源安全的关系，科学调控能源消费总量，严格控制化石能源消费，深入推进减煤控油，强化新增用煤用油需求管理，积极推进存量燃煤锅炉、工业窑炉等用煤设备清洁替代，有序推进散煤替代，推动煤炭消费和石油消费逐步达峰。合理控制煤电装机规模和发电量，大力发展非化石能源和新型储能，加快建设新型电力系统，科学布局抽水蓄能，创新发展绿电直连、智能微电网等业态，促进绿色电力消纳，推动新增清洁能源发电量逐步覆盖全社会新增用电需求。提高能源生产效率，推广化石能源高效开采技术装备，加强煤电节能降碳改造、灵活性改造等，合理确定煤电调度顺序和调峰深度，持续提升风光发电效率和储能装置能量转化效率，稳步降低电网综合线损率。</w:t>
      </w:r>
    </w:p>
    <w:p w14:paraId="5F504F4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三、大力推进重点领域节能降碳</w:t>
      </w:r>
    </w:p>
    <w:p w14:paraId="27E233C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三)强化工业节能降碳。全面提升钢铁、有色、石化、化工、建材等重点行业能效水平，聚焦生产工艺、主要工序、重点设备等深入实施节能降碳诊断，组织实施一批工业节能降碳工程。深化工业园区节能降碳，推动供热、制冷等基础设施共建共享，加强企业间能量交换与梯级利用，支持钢化联产、炼化集成等跨行业耦合提效，开展生态工业园区建设，推进园区能源系统整体优化和资源集约节约循环利用。</w:t>
      </w:r>
    </w:p>
    <w:p w14:paraId="64C01BD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四)加强建筑节能降碳。严格新建建筑能效管理，优化建筑节能降碳设计，推动超低能耗建筑规模化发展，建设安全舒适绿色智慧的“好房子”。结合老旧小区改造、清洁取暖等工作，积极推进既有建筑节能降碳改造，加强建筑运行节能降碳管理。建立建筑能效等级制度。优化建筑用能结构，有序推进建筑光伏一体化建设，因地制宜推进余热资源和非化石能源供热替代。深入推进供热计量改革，有序理顺供热价格，支持老化供热管网等设施设备更新改造和供热系统智能化升级，着力提升供热各环节能源利用效率。</w:t>
      </w:r>
    </w:p>
    <w:p w14:paraId="18E43CA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五)推进交通运输节能降碳。大力发展铁路、水路运输，持续提升公路运输效率和绿色化水平，提高民航空管运行效率，积极发展多式联运。持续推进绿色交通基础设施建设，提升交通场站、高速公路等设施设备绿色化智能化水平，健全充换电站、岸电等设施网络。建设零碳运输走廊。推广节能低碳运输工具，合理优化车辆能耗限值要求，积极发展电动(氢能)重型卡车和绿色燃料船舶，支持清洁低碳燃料掺混替代。</w:t>
      </w:r>
    </w:p>
    <w:p w14:paraId="3DB9994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六)加快数字基础设施节能降碳。推进算力、通信基站和机房等基础设施节能降碳改造，推动设备选型、制冷架构、机柜功率密度、系统智能运行策略等优化升级，持续提高单位算力能效和单位信息流量能效。加强算力基础设施项目评估论证和源头把关，严格电能利用效率等能效指标准入管理，提高可再生能源消费和余热资源回收利用水平，支持发展绿色低碳、集约循环的算力设施。</w:t>
      </w:r>
    </w:p>
    <w:p w14:paraId="0F3E9E0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七)深化公共机构节能降碳。推进公共机构建筑围护结构、供热、制冷、照明等设施设备节能降碳改造，推广能源费用托管等合同能源管理模式，持续降低单位建筑面积能耗和碳排放。加强公共机构能耗定额管理，完善节约能源资源信息管理。深入开展节约型公共机构示范单位建设，全面建设节约型机关。</w:t>
      </w:r>
    </w:p>
    <w:p w14:paraId="10BDF5A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四、进一步加强节能降碳监督管理</w:t>
      </w:r>
    </w:p>
    <w:p w14:paraId="3666A14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八)严格节能降碳审查评价。切实发挥能效、碳排放、技术等标准牵引作用，加强项目能耗、煤耗和碳排放等综合审查评价，新(改、扩)建高耗能高排放工业项目在纳入国家规划布局以及履行审批、核准、备案手续时应制定碳排放等量或减量置换方案，落实情况作为碳排放评价重要内容。动态调整固定资产投资项目节能审查和碳排放评价权限。定期开展节能降碳制度执行情况监督评估，对节能降碳指标严重滞后、审查评价能力不足的地区，依法依规调整或暂停其节能审查和碳排放评价权限，实施项目缓批限批。</w:t>
      </w:r>
    </w:p>
    <w:p w14:paraId="63515C0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九)加强重点用能和碳排放单位管理。建立健全重点用能和碳排放单位节能降碳管理档案，探索建立能效、碳排放披露和分级制度，全面提升管理精细化水平。强化重点用能和碳排放单位年度能源利用状况报告、碳排放清单等报送审查，督促按规定实施能源审计，严格执行能源和碳排放计量器具配备、信息系统建设等制度。鼓励节能降碳自愿承诺。</w:t>
      </w:r>
    </w:p>
    <w:p w14:paraId="62E26B7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十)强化节能降碳全流程监管。常态化开展煤炭、石油、电力等能源消费相关指标跟踪监测，加强同类型地区指标比对分析，对目标进展滞后、指标不合理增长的及时提醒预警，视情精准采取调控措施。加强对重点用能和碳排放单位执行节能降碳法律法规、政策标准等情况的监督检查，定期对节能审查和碳排放评价意见落实情况开展专项监督检查，强化结果运用。加强节能降碳监督检查与综合行政执法、特种设备监察、生态环境保护执法等的衔接协同，探索开展部门联合执法，提升执法效能。加强各级政府节能降碳管理和监察执法能力建设，鼓励地方依托专业力量、信息化手段等辅助提升监管效能。</w:t>
      </w:r>
    </w:p>
    <w:p w14:paraId="38F4C58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五、强化节能降碳工作支撑保障</w:t>
      </w:r>
    </w:p>
    <w:p w14:paraId="0F90363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十一)健全法律法规。强化节能降碳工作统筹，加快修改节约能源法。修改颁布可再生能源法。做好民用建筑节能条例、公共机构节能条例等行政法规修订工作，完善节能监察、能效标识等规章。修订发布重点用能和碳排放单位管理办法。</w:t>
      </w:r>
    </w:p>
    <w:p w14:paraId="68B111F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十二)完善标准标识体系。结合碳达峰碳中和目标要求、产业发展需求和技术进步实际，加快完善重点行业能耗和碳排放限额、重点用能产品设备能效等标准，逐步提高指标要求。围绕新领域、新业态制定实施一批节能降碳国家标准，持续完善能源和碳排放计量、监测、认证等配套标准。夯实标准制定修订数据基础，加强标准实施评估反馈。完善绿色产品认证与标识体系，强化能效标识管理和应用实施，建立产品碳标识认证制度。</w:t>
      </w:r>
    </w:p>
    <w:p w14:paraId="086452C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十三)强化政策支撑。在综合考虑能耗、环保绩效水平的基础上研究完善工业重点领域差别化电价政策，优化居民阶梯电价制度，健全分时电价机制。完善实施高耗能产品出口调控政策。发挥政府投资带动效应，统筹运用现有资金渠道对符合条件的节能降碳项目予以支持。深入实施节能产品政府强制采购和优先采购制度，鼓励各类主体提高节能产品采购标准和比重。充分发挥节能降碳市场机制作用，落实好有利于节能降碳的税收优惠政策，引导金融机构围绕重点领域节能降碳需求特点提供多元化金融产品服务。研究设立国家低碳转型基金，支持传统产业和资源富集地区绿色转型。</w:t>
      </w:r>
    </w:p>
    <w:p w14:paraId="50DE240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十四)加强技术创新应用。聚焦高效节能装备、智慧用能、重点行业节能降碳等领域，培育一批科技创新平台基地，加大国家重点研发计划支持力度，强化关键核心技术攻关。完善市场导向的绿色技术创新体系，支持骨干企业牵头组建重大节能低碳技术创新联合体，打造一批企业技术中心。及时更新节能降碳技术装备推荐目录等，加快节能锅炉、永磁电机、高效制冷、绿色照明、高温热泵等先进适用装备推广应用。</w:t>
      </w:r>
    </w:p>
    <w:p w14:paraId="6C86931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十五)提升基础工作能力。创新人才培养模式，优化能源管理、节能降碳领域相关学科专业设置和人才评价体系，完善相关职业标准，深化产教融合、科教融汇。强化政府部门、执法机构、企业事业单位等节能降碳相关人员专业能力培训。更好发挥行业协会作用，加强重点行业和领域节能降碳能力建设。完善国家及省级地区能源和碳排放年报、快报制度，健全煤炭等能源品种及工业、建筑、交通运输等重点领域能源统计制度。</w:t>
      </w:r>
    </w:p>
    <w:p w14:paraId="68625E3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六、加强组织实施</w:t>
      </w:r>
    </w:p>
    <w:p w14:paraId="22F600B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十六)加强组织领导。各地区各部门要在党中央集中统一领导下，加强统筹谋划，注重系统施策，结合实际抓好本意见贯彻落实。各级领导干部要树立和践行正确政绩观，扎实推进本地区本领域节能降碳工作。地方各级党委和政府对本行政区域节能降碳工作负总责，主要负责同志要切实履行好第一责任人责任。国家发展改革委要认真履行碳达峰碳中和统筹协调职责和节能主管部门职责，加强工作谋划和推进落实，强化跟踪评估和督促指导，协调解决重大问题，将节能降碳目标任务完成情况纳入碳达峰碳中和综合评价考核。各有关部门要各司其职、密切配合，形成合力。国有企业特别是中央企业要加强节能降碳示范引领。国家机关、人民团体、企业事业单位、社会组织等要扎实推进本单位本领域节能降碳工作。重大事项及时按程序向党中央、国务院请示报告。</w:t>
      </w:r>
    </w:p>
    <w:p w14:paraId="25F1C26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十七)实施全民行动。持续开展全国生态日、全国节能宣传周、全国低碳日等活动，倡导简约适度、绿色低碳、文明健康的生活理念和消费方式，切实增强全社会节能降碳内生动力。广大党员要以身作则，切实崇尚和践行节能降碳。畅通社会监督渠道，积极宣传节能降碳先进典型和经验做法，加大违法用能和能源浪费行为曝光力度。</w:t>
      </w:r>
    </w:p>
    <w:p w14:paraId="1198CBE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十八)强化国际合作。深化节能降碳领域国际对话和务实合作，拓展对话合作渠道，积极参与引领国际治理，大力宣传中国绿色转型成效。借鉴国际先进经验，加强节能降碳技术合作，支持节能低碳产品贸易，鼓励节能降碳服务企业走出去。积极参与节能降碳国际标准制定修订，推动节能降碳标准、标识国际互认。</w:t>
      </w:r>
    </w:p>
    <w:p w14:paraId="4D60D4E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75E4E2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3344EF8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59F9FCB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AB1FFB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31CB00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37E4644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DD6A36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48D587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15A80C6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A8D47D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51F03D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26A351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E9588C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0A075ED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5B72150C">
      <w:pPr>
        <w:spacing w:before="156" w:line="214" w:lineRule="auto"/>
        <w:ind w:left="3366" w:right="485" w:hanging="3100"/>
        <w:outlineLvl w:val="0"/>
        <w:rPr>
          <w:rFonts w:ascii="宋体" w:hAnsi="宋体" w:eastAsia="宋体" w:cs="宋体"/>
          <w:b/>
          <w:bCs/>
          <w:spacing w:val="-42"/>
          <w:sz w:val="48"/>
          <w:szCs w:val="48"/>
        </w:rPr>
      </w:pPr>
    </w:p>
    <w:p w14:paraId="1CA748DE">
      <w:pPr>
        <w:pStyle w:val="2"/>
        <w:bidi w:val="0"/>
      </w:pPr>
      <w:r>
        <w:t>中共中央办公厅印发《中国共产党发展党员 工作细则》</w:t>
      </w:r>
    </w:p>
    <w:p w14:paraId="2FC0F240">
      <w:pPr>
        <w:spacing w:before="98" w:line="343" w:lineRule="auto"/>
        <w:ind w:right="271" w:firstLine="654"/>
        <w:jc w:val="both"/>
        <w:rPr>
          <w:rFonts w:ascii="仿宋" w:hAnsi="仿宋" w:eastAsia="仿宋" w:cs="仿宋"/>
          <w:sz w:val="30"/>
          <w:szCs w:val="30"/>
        </w:rPr>
      </w:pPr>
      <w:r>
        <w:rPr>
          <w:rFonts w:ascii="仿宋" w:hAnsi="仿宋" w:eastAsia="仿宋" w:cs="仿宋"/>
          <w:b/>
          <w:bCs/>
          <w:spacing w:val="20"/>
          <w:sz w:val="30"/>
          <w:szCs w:val="30"/>
        </w:rPr>
        <w:t>新华社北京5月18日电</w:t>
      </w:r>
      <w:r>
        <w:rPr>
          <w:rFonts w:ascii="仿宋" w:hAnsi="仿宋" w:eastAsia="仿宋" w:cs="仿宋"/>
          <w:spacing w:val="20"/>
          <w:sz w:val="30"/>
          <w:szCs w:val="30"/>
        </w:rPr>
        <w:t xml:space="preserve">  近日，中共中央办公厅印发了</w:t>
      </w:r>
      <w:r>
        <w:rPr>
          <w:rFonts w:ascii="仿宋" w:hAnsi="仿宋" w:eastAsia="仿宋" w:cs="仿宋"/>
          <w:spacing w:val="19"/>
          <w:sz w:val="30"/>
          <w:szCs w:val="30"/>
        </w:rPr>
        <w:t>《中</w:t>
      </w:r>
      <w:r>
        <w:rPr>
          <w:rFonts w:ascii="仿宋" w:hAnsi="仿宋" w:eastAsia="仿宋" w:cs="仿宋"/>
          <w:sz w:val="30"/>
          <w:szCs w:val="30"/>
        </w:rPr>
        <w:t xml:space="preserve"> </w:t>
      </w:r>
      <w:r>
        <w:rPr>
          <w:rFonts w:ascii="仿宋" w:hAnsi="仿宋" w:eastAsia="仿宋" w:cs="仿宋"/>
          <w:spacing w:val="8"/>
          <w:sz w:val="30"/>
          <w:szCs w:val="30"/>
        </w:rPr>
        <w:t>国共产党发展党员工作细则》(以下简称《</w:t>
      </w:r>
      <w:r>
        <w:rPr>
          <w:rFonts w:ascii="仿宋" w:hAnsi="仿宋" w:eastAsia="仿宋" w:cs="仿宋"/>
          <w:spacing w:val="7"/>
          <w:sz w:val="30"/>
          <w:szCs w:val="30"/>
        </w:rPr>
        <w:t>细则》),并发出通知，</w:t>
      </w:r>
      <w:r>
        <w:rPr>
          <w:rFonts w:ascii="仿宋" w:hAnsi="仿宋" w:eastAsia="仿宋" w:cs="仿宋"/>
          <w:sz w:val="30"/>
          <w:szCs w:val="30"/>
        </w:rPr>
        <w:t xml:space="preserve"> </w:t>
      </w:r>
      <w:r>
        <w:rPr>
          <w:rFonts w:ascii="仿宋" w:hAnsi="仿宋" w:eastAsia="仿宋" w:cs="仿宋"/>
          <w:spacing w:val="15"/>
          <w:sz w:val="30"/>
          <w:szCs w:val="30"/>
        </w:rPr>
        <w:t>要求各地区各部门认真遵照执行。</w:t>
      </w:r>
    </w:p>
    <w:p w14:paraId="36D25141">
      <w:pPr>
        <w:spacing w:before="15" w:line="339" w:lineRule="auto"/>
        <w:ind w:firstLine="649"/>
        <w:rPr>
          <w:rFonts w:ascii="仿宋" w:hAnsi="仿宋" w:eastAsia="仿宋" w:cs="仿宋"/>
          <w:sz w:val="30"/>
          <w:szCs w:val="30"/>
        </w:rPr>
      </w:pPr>
      <w:r>
        <w:rPr>
          <w:rFonts w:ascii="仿宋" w:hAnsi="仿宋" w:eastAsia="仿宋" w:cs="仿宋"/>
          <w:spacing w:val="15"/>
          <w:sz w:val="30"/>
          <w:szCs w:val="30"/>
        </w:rPr>
        <w:t>通知指出，发展党员工作是党的建设一项重要的基础性工程。</w:t>
      </w:r>
      <w:r>
        <w:rPr>
          <w:rFonts w:ascii="仿宋" w:hAnsi="仿宋" w:eastAsia="仿宋" w:cs="仿宋"/>
          <w:spacing w:val="13"/>
          <w:sz w:val="30"/>
          <w:szCs w:val="30"/>
        </w:rPr>
        <w:t xml:space="preserve"> </w:t>
      </w:r>
      <w:r>
        <w:rPr>
          <w:rFonts w:ascii="仿宋" w:hAnsi="仿宋" w:eastAsia="仿宋" w:cs="仿宋"/>
          <w:spacing w:val="17"/>
          <w:sz w:val="30"/>
          <w:szCs w:val="30"/>
        </w:rPr>
        <w:t>各级党委及其组织部门要深入贯彻新时代党的建设总要求，贯彻</w:t>
      </w:r>
      <w:r>
        <w:rPr>
          <w:rFonts w:ascii="仿宋" w:hAnsi="仿宋" w:eastAsia="仿宋" w:cs="仿宋"/>
          <w:sz w:val="30"/>
          <w:szCs w:val="30"/>
        </w:rPr>
        <w:t xml:space="preserve">   </w:t>
      </w:r>
      <w:r>
        <w:rPr>
          <w:rFonts w:ascii="仿宋" w:hAnsi="仿宋" w:eastAsia="仿宋" w:cs="仿宋"/>
          <w:spacing w:val="14"/>
          <w:sz w:val="30"/>
          <w:szCs w:val="30"/>
        </w:rPr>
        <w:t>全面从严治党战略方针，把抓好发展党员工作作为重大政治责任，</w:t>
      </w:r>
      <w:r>
        <w:rPr>
          <w:rFonts w:ascii="仿宋" w:hAnsi="仿宋" w:eastAsia="仿宋" w:cs="仿宋"/>
          <w:spacing w:val="12"/>
          <w:sz w:val="30"/>
          <w:szCs w:val="30"/>
        </w:rPr>
        <w:t xml:space="preserve"> </w:t>
      </w:r>
      <w:r>
        <w:rPr>
          <w:rFonts w:ascii="仿宋" w:hAnsi="仿宋" w:eastAsia="仿宋" w:cs="仿宋"/>
          <w:spacing w:val="16"/>
          <w:sz w:val="30"/>
          <w:szCs w:val="30"/>
        </w:rPr>
        <w:t>认真贯彻执行《细则》各项规定并加强督促指导，坚持标准，严</w:t>
      </w:r>
      <w:r>
        <w:rPr>
          <w:rFonts w:ascii="仿宋" w:hAnsi="仿宋" w:eastAsia="仿宋" w:cs="仿宋"/>
          <w:spacing w:val="4"/>
          <w:sz w:val="30"/>
          <w:szCs w:val="30"/>
        </w:rPr>
        <w:t xml:space="preserve">   </w:t>
      </w:r>
      <w:r>
        <w:rPr>
          <w:rFonts w:ascii="仿宋" w:hAnsi="仿宋" w:eastAsia="仿宋" w:cs="仿宋"/>
          <w:spacing w:val="17"/>
          <w:sz w:val="30"/>
          <w:szCs w:val="30"/>
        </w:rPr>
        <w:t>格程序、严格把关、严肃纪律，不断提高发展党员工作</w:t>
      </w:r>
      <w:r>
        <w:rPr>
          <w:rFonts w:ascii="仿宋" w:hAnsi="仿宋" w:eastAsia="仿宋" w:cs="仿宋"/>
          <w:spacing w:val="16"/>
          <w:sz w:val="30"/>
          <w:szCs w:val="30"/>
        </w:rPr>
        <w:t>质量。要</w:t>
      </w:r>
      <w:r>
        <w:rPr>
          <w:rFonts w:ascii="仿宋" w:hAnsi="仿宋" w:eastAsia="仿宋" w:cs="仿宋"/>
          <w:sz w:val="30"/>
          <w:szCs w:val="30"/>
        </w:rPr>
        <w:t xml:space="preserve">   </w:t>
      </w:r>
      <w:r>
        <w:rPr>
          <w:rFonts w:ascii="仿宋" w:hAnsi="仿宋" w:eastAsia="仿宋" w:cs="仿宋"/>
          <w:spacing w:val="17"/>
          <w:sz w:val="30"/>
          <w:szCs w:val="30"/>
        </w:rPr>
        <w:t>把政治标准放在首位，加强教育培养，强化思</w:t>
      </w:r>
      <w:r>
        <w:rPr>
          <w:rFonts w:ascii="仿宋" w:hAnsi="仿宋" w:eastAsia="仿宋" w:cs="仿宋"/>
          <w:spacing w:val="16"/>
          <w:sz w:val="30"/>
          <w:szCs w:val="30"/>
        </w:rPr>
        <w:t>想入党，从严政治</w:t>
      </w:r>
      <w:r>
        <w:rPr>
          <w:rFonts w:ascii="仿宋" w:hAnsi="仿宋" w:eastAsia="仿宋" w:cs="仿宋"/>
          <w:sz w:val="30"/>
          <w:szCs w:val="30"/>
        </w:rPr>
        <w:t xml:space="preserve">   </w:t>
      </w:r>
      <w:r>
        <w:rPr>
          <w:rFonts w:ascii="仿宋" w:hAnsi="仿宋" w:eastAsia="仿宋" w:cs="仿宋"/>
          <w:spacing w:val="16"/>
          <w:sz w:val="30"/>
          <w:szCs w:val="30"/>
        </w:rPr>
        <w:t>审查，深入考察发展对象的入党动机、政治素质和现实表现，严</w:t>
      </w:r>
      <w:r>
        <w:rPr>
          <w:rFonts w:ascii="仿宋" w:hAnsi="仿宋" w:eastAsia="仿宋" w:cs="仿宋"/>
          <w:spacing w:val="4"/>
          <w:sz w:val="30"/>
          <w:szCs w:val="30"/>
        </w:rPr>
        <w:t xml:space="preserve">   </w:t>
      </w:r>
      <w:r>
        <w:rPr>
          <w:rFonts w:ascii="仿宋" w:hAnsi="仿宋" w:eastAsia="仿宋" w:cs="仿宋"/>
          <w:spacing w:val="17"/>
          <w:sz w:val="30"/>
          <w:szCs w:val="30"/>
        </w:rPr>
        <w:t>把入口关。不断优化党员队伍结构，注重从青年和产</w:t>
      </w:r>
      <w:r>
        <w:rPr>
          <w:rFonts w:ascii="仿宋" w:hAnsi="仿宋" w:eastAsia="仿宋" w:cs="仿宋"/>
          <w:spacing w:val="16"/>
          <w:sz w:val="30"/>
          <w:szCs w:val="30"/>
        </w:rPr>
        <w:t>业工人、农</w:t>
      </w:r>
      <w:r>
        <w:rPr>
          <w:rFonts w:ascii="仿宋" w:hAnsi="仿宋" w:eastAsia="仿宋" w:cs="仿宋"/>
          <w:sz w:val="30"/>
          <w:szCs w:val="30"/>
        </w:rPr>
        <w:t xml:space="preserve">   </w:t>
      </w:r>
      <w:r>
        <w:rPr>
          <w:rFonts w:ascii="仿宋" w:hAnsi="仿宋" w:eastAsia="仿宋" w:cs="仿宋"/>
          <w:spacing w:val="16"/>
          <w:sz w:val="30"/>
          <w:szCs w:val="30"/>
        </w:rPr>
        <w:t>民、知识分子中发展党员，做好在新兴领域发展党员工作，进一</w:t>
      </w:r>
      <w:r>
        <w:rPr>
          <w:rFonts w:ascii="仿宋" w:hAnsi="仿宋" w:eastAsia="仿宋" w:cs="仿宋"/>
          <w:spacing w:val="1"/>
          <w:sz w:val="30"/>
          <w:szCs w:val="30"/>
        </w:rPr>
        <w:t xml:space="preserve">   </w:t>
      </w:r>
      <w:r>
        <w:rPr>
          <w:rFonts w:ascii="仿宋" w:hAnsi="仿宋" w:eastAsia="仿宋" w:cs="仿宋"/>
          <w:spacing w:val="17"/>
          <w:sz w:val="30"/>
          <w:szCs w:val="30"/>
        </w:rPr>
        <w:t>步夯实基础，不断增强党的号召力凝聚力影响力。</w:t>
      </w:r>
    </w:p>
    <w:p w14:paraId="29481418">
      <w:pPr>
        <w:spacing w:before="85" w:line="343" w:lineRule="auto"/>
        <w:ind w:right="278" w:firstLine="649"/>
        <w:rPr>
          <w:rFonts w:ascii="仿宋" w:hAnsi="仿宋" w:eastAsia="仿宋" w:cs="仿宋"/>
          <w:sz w:val="30"/>
          <w:szCs w:val="30"/>
        </w:rPr>
      </w:pPr>
      <w:r>
        <w:rPr>
          <w:rFonts w:ascii="仿宋" w:hAnsi="仿宋" w:eastAsia="仿宋" w:cs="仿宋"/>
          <w:spacing w:val="17"/>
          <w:sz w:val="30"/>
          <w:szCs w:val="30"/>
        </w:rPr>
        <w:t>通知要求，各地区各部门在执行《细则》中的重要情况</w:t>
      </w:r>
      <w:r>
        <w:rPr>
          <w:rFonts w:ascii="仿宋" w:hAnsi="仿宋" w:eastAsia="仿宋" w:cs="仿宋"/>
          <w:spacing w:val="16"/>
          <w:sz w:val="30"/>
          <w:szCs w:val="30"/>
        </w:rPr>
        <w:t>和建</w:t>
      </w:r>
      <w:r>
        <w:rPr>
          <w:rFonts w:ascii="仿宋" w:hAnsi="仿宋" w:eastAsia="仿宋" w:cs="仿宋"/>
          <w:sz w:val="30"/>
          <w:szCs w:val="30"/>
        </w:rPr>
        <w:t xml:space="preserve"> </w:t>
      </w:r>
      <w:r>
        <w:rPr>
          <w:rFonts w:ascii="仿宋" w:hAnsi="仿宋" w:eastAsia="仿宋" w:cs="仿宋"/>
          <w:spacing w:val="14"/>
          <w:sz w:val="30"/>
          <w:szCs w:val="30"/>
        </w:rPr>
        <w:t>议，要及时报告党中央。</w:t>
      </w:r>
    </w:p>
    <w:p w14:paraId="21A85055">
      <w:pPr>
        <w:spacing w:line="222" w:lineRule="auto"/>
        <w:ind w:left="640"/>
        <w:rPr>
          <w:rFonts w:ascii="仿宋" w:hAnsi="仿宋" w:eastAsia="仿宋" w:cs="仿宋"/>
          <w:sz w:val="30"/>
          <w:szCs w:val="30"/>
        </w:rPr>
      </w:pPr>
      <w:r>
        <w:rPr>
          <w:rFonts w:ascii="仿宋" w:hAnsi="仿宋" w:eastAsia="仿宋" w:cs="仿宋"/>
          <w:spacing w:val="13"/>
          <w:sz w:val="30"/>
          <w:szCs w:val="30"/>
        </w:rPr>
        <w:t>《细则》全文如下。</w:t>
      </w:r>
    </w:p>
    <w:p w14:paraId="50E32DCC">
      <w:pPr>
        <w:pStyle w:val="3"/>
        <w:spacing w:line="453" w:lineRule="auto"/>
      </w:pPr>
    </w:p>
    <w:p w14:paraId="4560C06F">
      <w:pPr>
        <w:pStyle w:val="2"/>
        <w:bidi w:val="0"/>
      </w:pPr>
      <w:r>
        <w:t>中国共产党发展党员工作细则</w:t>
      </w:r>
    </w:p>
    <w:p w14:paraId="706908CD">
      <w:pPr>
        <w:keepNext w:val="0"/>
        <w:keepLines w:val="0"/>
        <w:pageBreakBefore w:val="0"/>
        <w:widowControl/>
        <w:kinsoku w:val="0"/>
        <w:wordWrap/>
        <w:overflowPunct/>
        <w:topLinePunct w:val="0"/>
        <w:autoSpaceDE w:val="0"/>
        <w:autoSpaceDN w:val="0"/>
        <w:bidi w:val="0"/>
        <w:adjustRightInd w:val="0"/>
        <w:snapToGrid w:val="0"/>
        <w:spacing w:before="15" w:line="339" w:lineRule="auto"/>
        <w:ind w:firstLine="0"/>
        <w:jc w:val="center"/>
        <w:textAlignment w:val="baseline"/>
        <w:rPr>
          <w:rFonts w:ascii="仿宋" w:hAnsi="仿宋" w:eastAsia="仿宋" w:cs="仿宋"/>
          <w:spacing w:val="15"/>
          <w:sz w:val="30"/>
          <w:szCs w:val="30"/>
        </w:rPr>
      </w:pPr>
      <w:r>
        <w:rPr>
          <w:rFonts w:ascii="仿宋" w:hAnsi="仿宋" w:eastAsia="仿宋" w:cs="仿宋"/>
          <w:spacing w:val="15"/>
          <w:sz w:val="30"/>
          <w:szCs w:val="30"/>
        </w:rPr>
        <w:t>(2014年5月8日中共中央政治局常委会会议审议批准2014年5月28日中共中央办公厅发布</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2026年4月2日中共中央政治局常委会会议修订</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2026年5月11日中共中央办公厅发布)</w:t>
      </w:r>
    </w:p>
    <w:p w14:paraId="33251E63">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第一章</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总则</w:t>
      </w:r>
    </w:p>
    <w:p w14:paraId="6AA72F0F">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第一条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为了规范和加强发展党员工作，提高新发展的党员质量，保持党的先进性和纯洁性，根据《中国共产党章程》和有关党内法规，制定本细则。</w:t>
      </w:r>
    </w:p>
    <w:p w14:paraId="53AE1E67">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第二条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中国共产党党员是中国工人阶级的有共产主义觉悟的先锋战士。党的基层组织应当把吸收具有马克思主义信仰、共产主义觉悟和中国特色社会主义信念，深刻领悟“两个确立”的决定性意义，增强“四个意识”、坚定“四个自信”、做到“两个维护”,自觉践行社会主义核心价值观的先进分子入党，作为一项经常性重要工作。</w:t>
      </w:r>
    </w:p>
    <w:p w14:paraId="0F4E1E93">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第三条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发展党员工作坚持马克思列宁主义、毛泽东思想、邓小平理论、“三个代表”重要思想、科学发展观，全面贯彻习近平新时代中国特色社会主义思想，贯彻党的基本理论、基本路线、基本方略，贯彻新时代党的建设总要求，贯彻全面从严治党战略方针，按照控制总量、优化结构、提高质量、发挥作用的总要求，坚持党章规定的党员标准，始终把政治标准放在首位，严格程序、严格把关、严肃纪律，发展政治品质纯洁的党员；坚持综合平衡、分类指导，有领导、有计划地进行；坚持入党自愿原则和个别吸收原则，成熟一个，发展一个。</w:t>
      </w:r>
    </w:p>
    <w:p w14:paraId="134CE2E0">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禁止突击发展，反对“关门主义”。</w:t>
      </w:r>
    </w:p>
    <w:p w14:paraId="3431ACDE">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sectPr>
          <w:footerReference r:id="rId6" w:type="default"/>
          <w:pgSz w:w="11900" w:h="16840"/>
          <w:pgMar w:top="1431" w:right="1236" w:bottom="1379" w:left="1489" w:header="0" w:footer="1261" w:gutter="0"/>
          <w:pgNumType w:fmt="decimal"/>
          <w:cols w:space="720" w:num="1"/>
        </w:sectPr>
      </w:pPr>
    </w:p>
    <w:p w14:paraId="3654B69F">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第二章</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入党积极分子的确定和培养教育</w:t>
      </w:r>
    </w:p>
    <w:p w14:paraId="6776A50D">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第四条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党组织应当通过宣传党的政治主张和深入细致的思想政治工作，提高党外群众对党的认识，增进对党的感情，不断扩大入党积极分子队伍。</w:t>
      </w:r>
    </w:p>
    <w:p w14:paraId="3B64251F">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第五条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年满十八岁的中国工人、农民、军人、知识分子和其他社会阶层的先进分子，承认党的纲领和章程，愿意参加党的一个组织并在其中积极工作、执行党的决议和按期交纳党费的，可以申请加入中国共产党。</w:t>
      </w:r>
    </w:p>
    <w:p w14:paraId="69009867">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第六条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入党申请人应当向工作、学习所在单位党组织提出入党申请，工作、学习单位未建立党组织的，应当向工作、学习单位所在地党组织，单位主管部门党组织或者居住地党组织提出入党申请；没有工作、学习单位的，应当向居住地党组织提出入党申请。</w:t>
      </w:r>
    </w:p>
    <w:p w14:paraId="072F9A87">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流动人员还可以向流动党员党组织提出入党申请。</w:t>
      </w:r>
    </w:p>
    <w:p w14:paraId="24849A5B">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第七条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党组织收到入党申请书后，应当在一个月内派人同入党申请人谈话，了解学习工作经历、对党的认识、入党动机、遵纪守法以及家庭情况等基本情况，并向其介绍党的基本知识、党员的标准和条件。</w:t>
      </w:r>
    </w:p>
    <w:p w14:paraId="161F22E1">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第八条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在入党申请人中确定入党积极分子，应当采取党员推荐、群团组织推优等方式产生人选，由党支部委员会会议(不设党支部委员会的由党支部党员大会，下同)研究决定后，报上级党委备案。</w:t>
      </w:r>
    </w:p>
    <w:p w14:paraId="69711244">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第九条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党组织应当指定一至两名正式党员作入党积极分子的培养联系人。培养联系人由经过一定时间党内生活的锻炼、能够用党员标准严格要求自己、先锋模范作用发挥比较好、善于做思想政治工作、责任心强的党员担任，主要任务是：</w:t>
      </w:r>
    </w:p>
    <w:p w14:paraId="38152E76">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(一)向入党积极分子介绍和阐释共产党人的信仰信念，介绍党的基本知识，引导其深入学习领会习近平新时代中国特色社会主义思想；</w:t>
      </w:r>
    </w:p>
    <w:p w14:paraId="2DD9028E">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(二)经常谈心谈话，了解入党积极分子的政治觉悟、道德品质、现实表现和家庭情况等，做好培养教育工作，引导入党积极分子端正入党动机；</w:t>
      </w:r>
    </w:p>
    <w:p w14:paraId="72837A28">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(三)及时向党支部汇报入党积极分子情况，在《入党积极分子培养考察登记表》上认真填写自己的意见；</w:t>
      </w:r>
    </w:p>
    <w:p w14:paraId="1AC9D882">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(四)向党支部提出能否将入党积极分子列为发展对象的意见。</w:t>
      </w:r>
    </w:p>
    <w:p w14:paraId="4214E0B5">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对因工作岗位发生变动无法正常履行职责，以及其他原因不适宜担任培养联系人的，党组织应当及时予以调整。</w:t>
      </w:r>
    </w:p>
    <w:p w14:paraId="792E34D0">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第十条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党组织应当采取吸收入党积极分子听党课、参加党内有关活动，给他们分配一定的社会工作以及集中培训等方法，对入党积极分子进行马克思列宁主义、毛泽东思想、邓小平理论、“三个代表”重要思想、科学发展观、习近平新时代中国特色社会主义思想教育，党的路线、方针、政策和党章、党的基本知识教育，党的历史和优良传统、作风教育，党的纪律教育，社会主义核心价值观教育，使他们懂得党的性质、纲领、宗旨、组织原则和纪律，懂得党员的义务和权利，帮助他们端正入党动机，确</w:t>
      </w:r>
    </w:p>
    <w:p w14:paraId="320EEE60">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sectPr>
          <w:footerReference r:id="rId7" w:type="default"/>
          <w:pgSz w:w="11900" w:h="16840"/>
          <w:pgMar w:top="1431" w:right="1420" w:bottom="1415" w:left="1459" w:header="0" w:footer="1253" w:gutter="0"/>
          <w:pgNumType w:fmt="decimal"/>
          <w:cols w:space="720" w:num="1"/>
        </w:sectPr>
      </w:pPr>
    </w:p>
    <w:p w14:paraId="4EF26604">
      <w:pPr>
        <w:keepNext w:val="0"/>
        <w:keepLines w:val="0"/>
        <w:pageBreakBefore w:val="0"/>
        <w:widowControl/>
        <w:kinsoku/>
        <w:wordWrap/>
        <w:overflowPunct w:val="0"/>
        <w:topLinePunct w:val="0"/>
        <w:autoSpaceDE w:val="0"/>
        <w:autoSpaceDN w:val="0"/>
        <w:bidi w:val="0"/>
        <w:adjustRightInd w:val="0"/>
        <w:snapToGrid w:val="0"/>
        <w:spacing w:before="15" w:line="339" w:lineRule="auto"/>
        <w:textAlignment w:val="baseline"/>
        <w:rPr>
          <w:rFonts w:ascii="仿宋" w:hAnsi="仿宋" w:eastAsia="仿宋" w:cs="仿宋"/>
          <w:spacing w:val="15"/>
          <w:sz w:val="30"/>
          <w:szCs w:val="30"/>
        </w:rPr>
      </w:pPr>
      <w:r>
        <w:rPr>
          <w:rFonts w:ascii="仿宋" w:hAnsi="仿宋" w:eastAsia="仿宋" w:cs="仿宋"/>
          <w:spacing w:val="15"/>
          <w:sz w:val="30"/>
          <w:szCs w:val="30"/>
        </w:rPr>
        <w:t>立为共产主义事业奋斗终身的信念。</w:t>
      </w:r>
    </w:p>
    <w:p w14:paraId="7D9D50E3">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第十一条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党支部每半年对入党积极分子进行一次考察。县级党委组织部门和基层党委每年对入党积极分子队伍状况作一次分析。针对存在的问题，采取改进措施。</w:t>
      </w:r>
    </w:p>
    <w:p w14:paraId="3579C6C2">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第十二条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入党积极分子工作、学习所在单位或者居住地发生变动，应当及时报告原单位或者居住地党组织。原单位或者居住地党组织应当及时将入党申请书、《入党积极分子培养考察登记表》等材料转交现单位或者居住地党组织。现单位或者居住地党组织应当对有关材料进行认真审查，并接续做好培养教育工作。培养教育时间可以连续计算。</w:t>
      </w:r>
    </w:p>
    <w:p w14:paraId="7665A221">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第三章</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发展对象的确定和考察</w:t>
      </w:r>
    </w:p>
    <w:p w14:paraId="6719E1F4">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第十三条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对经过一年以上培养教育和考察、基本具备党员条件的入党积极分子，在听取党小组、培养联系人、党员和群众等意见的基础上，党支部委员会会议研究讨论并报上级党委同意拟列为发展对象的，在工作、学习单位或者居住地进行公示，公示期不少于五个工作日。拟列为发展对象的流动人员，应当在流出地和流入地同时公示。公示结果不影响发展入党的，可以列为发展对象。</w:t>
      </w:r>
    </w:p>
    <w:p w14:paraId="7A7498FA">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第十四条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发展对象应当有两名正式党员作入党介绍人。入党介绍人一般由培养联系人担任，也可以由党组织指定。</w:t>
      </w:r>
    </w:p>
    <w:p w14:paraId="756A449A">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受警告、严重警告、撤销党内职务处分在影响期内的党员，不宜作入党介绍人。受留党察看处分、尚未恢复党员权利的党员，</w:t>
      </w:r>
    </w:p>
    <w:p w14:paraId="4CA4D137">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sectPr>
          <w:footerReference r:id="rId8" w:type="default"/>
          <w:pgSz w:w="11900" w:h="16840"/>
          <w:pgMar w:top="1431" w:right="1240" w:bottom="1413" w:left="1509" w:header="0" w:footer="1253" w:gutter="0"/>
          <w:pgNumType w:fmt="decimal"/>
          <w:cols w:space="720" w:num="1"/>
        </w:sectPr>
      </w:pPr>
    </w:p>
    <w:p w14:paraId="7D1EFDD4">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不能作入党介绍人。</w:t>
      </w:r>
    </w:p>
    <w:p w14:paraId="10917048">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第十五条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入党介绍人的主要任务是：</w:t>
      </w:r>
    </w:p>
    <w:p w14:paraId="110E13B2">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(一)向发展对象解释党的纲领、章程，说明党员的条件、义务和权利；</w:t>
      </w:r>
    </w:p>
    <w:p w14:paraId="73B7B4D7">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(二)认真了解发展对象的入党动机、政治觉悟、道德品质、学习工作经历、现实表现等情况，如实向党组织汇报；</w:t>
      </w:r>
    </w:p>
    <w:p w14:paraId="48949F9F">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(三)指导发展对象填写《中国共产党入党志愿书》,并认真填写自己的意见；</w:t>
      </w:r>
    </w:p>
    <w:p w14:paraId="7C392F9D">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(四)向党支部党员大会负责地介绍发展对象的情况；</w:t>
      </w:r>
    </w:p>
    <w:p w14:paraId="2149E8F0">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(五)发展对象批准为预备党员后，继续对其进行教育帮助，在《预备党员教育考察登记表》上认真填写自己的意见。</w:t>
      </w:r>
    </w:p>
    <w:p w14:paraId="1815F37A">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第十六条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党组织必须对发展对象进行政治审查，深入了解其入党动机、政治素质和现实表现等情况。</w:t>
      </w:r>
    </w:p>
    <w:p w14:paraId="47541F14">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政治审查的主要内容是：坚定马克思主义信仰、共产主义觉悟和中国特色社会主义信念的情况；深刻领悟“两个确立”的决定性意义，增强“四个意识”、坚定“四个自信”、做到“两个维护”的现实表现；对党的理论和路线、方针、政策的态度；政治历史和在重大政治斗争、急难险重任务中的表现；遵纪守法和遵守社会公德、家庭美德以及网络行为表现的情况；家庭主要成员和重要社会关系的政治情况。</w:t>
      </w:r>
    </w:p>
    <w:p w14:paraId="21689E59">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政治审查的基本方法是：同本人谈话、查阅有关档案材料、找有关单位和人员了解情况以及必要的函调或者外调。在听取本人介绍和查阅有关材料后，情况清楚的可以不函调或者外调。对</w:t>
      </w:r>
    </w:p>
    <w:p w14:paraId="7928767D">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sectPr>
          <w:footerReference r:id="rId9" w:type="default"/>
          <w:pgSz w:w="11900" w:h="16840"/>
          <w:pgMar w:top="1431" w:right="1399" w:bottom="1468" w:left="1499" w:header="0" w:footer="1236" w:gutter="0"/>
          <w:pgNumType w:fmt="decimal"/>
          <w:cols w:space="720" w:num="1"/>
        </w:sectPr>
      </w:pPr>
    </w:p>
    <w:p w14:paraId="48176012">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流动人员中的发展对象进行政治审查时，还应当征求其户籍所在地和居住地基层党组织的意见。</w:t>
      </w:r>
    </w:p>
    <w:p w14:paraId="725BB2FD">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政治审查时，基层党委根据需要听取有关部门的意见，县级党委组织部门和执纪执法等相关部门建立政审联审制度。</w:t>
      </w:r>
    </w:p>
    <w:p w14:paraId="01405DE3">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政治审查必须严肃认真、实事求是，注重本人的一贯表现。审查情况应当形成结论性材料。</w:t>
      </w:r>
    </w:p>
    <w:p w14:paraId="44528010">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凡是未经政治审查或者政治审查不合格的，不能发展入党。</w:t>
      </w:r>
    </w:p>
    <w:p w14:paraId="6E153CE4">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第十七条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基层党委或者县级党委组织部门应当对发展对象进行短期集中培训，一般采取线下方式，根据需要也可以采取视频方式。培训时间一般不少于三天或者不少于二十四个学时。培训时主要学习习近平新时代中国特色社会主义思想，学习党章和有关党内法规，学习党的历史。中央组织部组织编写的《入党教材》,可以作为学习辅导材料。</w:t>
      </w:r>
    </w:p>
    <w:p w14:paraId="438146C5">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除个别特殊情况外，未经培训的，不能发展入党。</w:t>
      </w:r>
    </w:p>
    <w:p w14:paraId="540F136D">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第四章</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预备党员的接收</w:t>
      </w:r>
    </w:p>
    <w:p w14:paraId="03EE0DCB">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第十八条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党支部委员会应当对发展对象进行严格审查，经集体讨论认为合格后，报具有审批权限的基层党委预审。</w:t>
      </w:r>
    </w:p>
    <w:p w14:paraId="2E5C868D">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基层党委对发展对象的条件、培养教育情况等进行审查。审查结果以书面形式通知党支部，并向审查合格的发展对象发放《中国共产党入党志愿书》。</w:t>
      </w:r>
    </w:p>
    <w:p w14:paraId="4F7477BD">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发展对象未来三个月内将离开工作、学习单位的，一般不办理接收预备党员的手续。</w:t>
      </w:r>
    </w:p>
    <w:p w14:paraId="1C118D44">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sectPr>
          <w:footerReference r:id="rId10" w:type="default"/>
          <w:pgSz w:w="11900" w:h="16840"/>
          <w:pgMar w:top="1431" w:right="1389" w:bottom="1394" w:left="1490" w:header="0" w:footer="1259" w:gutter="0"/>
          <w:pgNumType w:fmt="decimal"/>
          <w:cols w:space="720" w:num="1"/>
        </w:sectPr>
      </w:pPr>
    </w:p>
    <w:p w14:paraId="706A5CFF">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第十九条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经基层党委预审合格的发展对象，应当在一个月内提交党支部党员大会讨论。</w:t>
      </w:r>
    </w:p>
    <w:p w14:paraId="4A8F0B5B">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召开讨论接收预备党员的党支部党员大会，实际到会有表决权的党员人数必须超过应到会有表决权的党员人数的半数。</w:t>
      </w:r>
    </w:p>
    <w:p w14:paraId="1266AC83">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第二十条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党支部党员大会讨论接收预备党员的主要程序是：</w:t>
      </w:r>
    </w:p>
    <w:p w14:paraId="5DC60893">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(一)发展对象汇报对党的认识、入党动机、本人履历、家庭主要成员和重要社会关系情况，以及需向党组织说明的问题。</w:t>
      </w:r>
    </w:p>
    <w:p w14:paraId="4696AE3C">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(二)入党介绍人介绍发展对象有关情况，并对其能否入党表明意见。</w:t>
      </w:r>
    </w:p>
    <w:p w14:paraId="5D40E80E">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(三)党支部委员会报告对发展对象的审查情况。</w:t>
      </w:r>
    </w:p>
    <w:p w14:paraId="24003382">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四)与会党员对发展对象能否入党进行充分讨论，并采取无记名投票方式进行表决。赞成人数超过应到会有表决权的党员人数的半数，才能通过接收预备党员的决议。因故不能到会的有表决权的党员，在党支部党员大会召开前正式向党支部提出书面意见的，应当统计在票数内。</w:t>
      </w:r>
    </w:p>
    <w:p w14:paraId="32DADF0F">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党支部党员大会讨论两个以上的发展对象入党时，必须逐个讨论和表决。</w:t>
      </w:r>
    </w:p>
    <w:p w14:paraId="201E3176">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第二十一条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党支部应当及时将党员大会决议写入《中国共产党入党志愿书》,连同本人入党申请书、《入党积极分子培养考察登记表》、政治审查材料等，一并报上级党委(工委，下同)审批。</w:t>
      </w:r>
    </w:p>
    <w:p w14:paraId="4BFB9819">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党支部党员大会决议主要包括：发展对象的主要表现；应到</w:t>
      </w:r>
    </w:p>
    <w:p w14:paraId="0AA576DC">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sectPr>
          <w:footerReference r:id="rId11" w:type="default"/>
          <w:pgSz w:w="11900" w:h="16840"/>
          <w:pgMar w:top="1431" w:right="1434" w:bottom="1415" w:left="1480" w:header="0" w:footer="1253" w:gutter="0"/>
          <w:pgNumType w:fmt="decimal"/>
          <w:cols w:space="720" w:num="1"/>
        </w:sectPr>
      </w:pPr>
    </w:p>
    <w:p w14:paraId="35C080BC">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会和实际到会有表决权的党员人数；表决结果；通过决议的日期；党支部书记签名。</w:t>
      </w:r>
    </w:p>
    <w:p w14:paraId="0C2D65B5">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第二十二条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预备党员必须由党委审批。</w:t>
      </w:r>
    </w:p>
    <w:p w14:paraId="470F5851">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乡镇(街道)党委所属的基层党委，不能审批预备党员，但应当对党支部党员大会通过接收的预备党员进行审议。</w:t>
      </w:r>
    </w:p>
    <w:p w14:paraId="70B288CF">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党总支不能审批预备党员，但应当对党支部党员大会通过接收的预备党员进行审议。</w:t>
      </w:r>
    </w:p>
    <w:p w14:paraId="345A6C47">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除另有规定外，临时党组织不能接收、审批预备党员。</w:t>
      </w:r>
    </w:p>
    <w:p w14:paraId="1C390AA4">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党组不能审批预备党员，但应当按照党章和有关规定讨论和决定发展党员重要事项。</w:t>
      </w:r>
    </w:p>
    <w:p w14:paraId="35A89CA4">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第二十三条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党委审批前，应当指派党委委员或者组织员同发展对象谈话，作进一步的了解，并帮助发展对象提高对党的认识。谈话人应当将谈话情况和自己对发展对象能否入党的意见，如实填写在《中国共产党入党志愿书》上，并向党委汇报。</w:t>
      </w:r>
    </w:p>
    <w:p w14:paraId="05344CD4">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第二十四条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党委审批预备党员，必须集体讨论和表决。</w:t>
      </w:r>
    </w:p>
    <w:p w14:paraId="7B934D1D">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党委主要审议发展对象是否具备党员条件、入党手续是否完</w:t>
      </w:r>
    </w:p>
    <w:p w14:paraId="2252A09E">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备。发展对象符合党员条件、入党手续完备的，批准其为预备党员。党委审批意见写入《中国共产党入党志愿书》,注明预备期的起止时间，并通知报批的党支部。党支部应当及时通知本人并在党员大会上宣布。对未被批准入党的，应当通知党支部和本人，做好思想工作。</w:t>
      </w:r>
    </w:p>
    <w:p w14:paraId="5462A769">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党委会审批两个以上的发展对象入党时，应当逐个审议和表决。</w:t>
      </w:r>
    </w:p>
    <w:p w14:paraId="2C71B8FE">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sectPr>
          <w:footerReference r:id="rId12" w:type="default"/>
          <w:pgSz w:w="11900" w:h="16840"/>
          <w:pgMar w:top="1431" w:right="1444" w:bottom="1392" w:left="1489" w:header="0" w:footer="1257" w:gutter="0"/>
          <w:pgNumType w:fmt="decimal"/>
          <w:cols w:space="720" w:num="1"/>
        </w:sectPr>
      </w:pPr>
    </w:p>
    <w:p w14:paraId="3DFFE694">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第二十五条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党委对党支部上报的接收预备党员的决议，应当在三个月内审批，并报上级党委组织部门备案。如遇特殊情况可以适当延长审批时间，但不得超过六个月。</w:t>
      </w:r>
    </w:p>
    <w:p w14:paraId="6D5915D4">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第二十六条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在特殊情况下，党的中央和省(自治区、直辖市)委员会可以直接接收党员。</w:t>
      </w:r>
    </w:p>
    <w:p w14:paraId="3AC12EC8">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第二十七条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对在中国特色社会主义事业中为党和人民利益英勇献身，事迹突出，在一定范围内有较大影响，生前一贯表现良好并曾向党组织提出过入党要求的人员，可以追认为党员。</w:t>
      </w:r>
    </w:p>
    <w:p w14:paraId="6310042E">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追认党员必须严格掌握，由所在单位党组织讨论决定后，经上级党委审查，报省一级党委批准。</w:t>
      </w:r>
    </w:p>
    <w:p w14:paraId="31C58DAA">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第五章预备党员的教育、考察和转正</w:t>
      </w:r>
    </w:p>
    <w:p w14:paraId="44392C41">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第二十八条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党组织应当及时将上级党委批准的预备党员编入党支部和党小组，对预备党员继续进行教育和考察。</w:t>
      </w:r>
    </w:p>
    <w:p w14:paraId="1BE9DCBF">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第二十九条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预备党员必须面向党旗进行入党宣誓。入党宣誓仪式，一般在批复同意接收预备党员后的一个月内，由基层党委或者党支部(党总支)组织进行。</w:t>
      </w:r>
    </w:p>
    <w:p w14:paraId="3841A260">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县级以上党委可以在“七一”、国庆等重大纪念日组织集中宣誓。</w:t>
      </w:r>
    </w:p>
    <w:p w14:paraId="7FAF6ADC">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第三十条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党组织应当通过党的组织生活、听取本人汇报、个别谈心、集中培训、实践锻炼、志愿服务等方式，对预备党员进行教育和考察，引导其不断提高政治觉悟，自觉用党员标准严格要求自己，在生产、工作、学习和社会生活中起先锋模范作用。</w:t>
      </w:r>
    </w:p>
    <w:p w14:paraId="25C2AE54">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sectPr>
          <w:footerReference r:id="rId13" w:type="default"/>
          <w:pgSz w:w="11900" w:h="16840"/>
          <w:pgMar w:top="1431" w:right="1410" w:bottom="1413" w:left="1489" w:header="0" w:footer="1251" w:gutter="0"/>
          <w:pgNumType w:fmt="decimal"/>
          <w:cols w:space="720" w:num="1"/>
        </w:sectPr>
      </w:pPr>
    </w:p>
    <w:p w14:paraId="32834E9D">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第三十一条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预备党员的预备期为一年。预备期从党支部党员大会通过其为预备党员之日算起。</w:t>
      </w:r>
    </w:p>
    <w:p w14:paraId="2E86712C">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预备党员预备期满，党支部应当及时讨论其能否转为正式党员。认真履行党员义务、具备党员条件的，应当按期转为正式党员；需要继续考察和教育的，可以延长一次预备期，延长时间不能少于半年，最长不超过一年；不履行党员义务、不具备党员条件的，应当取消其预备党员资格。</w:t>
      </w:r>
    </w:p>
    <w:p w14:paraId="2B732DDF">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预备党员违犯党纪，情节较轻，可以保留预备党员资格的，应当对其进行批评教育或者延长预备期；情节较重的，应当取消其预备党员资格。</w:t>
      </w:r>
    </w:p>
    <w:p w14:paraId="248DF9FF">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预备党员转为正式党员、延长预备期或者取消预备党员资格，应当经党支部党员大会讨论通过和上级党组织批准。</w:t>
      </w:r>
    </w:p>
    <w:p w14:paraId="6696EE0E">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第三十二条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预备党员转正的手续是：本人向党支部提出书面转正申请；党支部征求党小组、党员和群众的意见；党支部委员会审查；党支部党员大会讨论、表决通过；报上级党委审批。</w:t>
      </w:r>
    </w:p>
    <w:p w14:paraId="1962E769">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讨论预备党员转正的党支部党员大会，对到会人数、赞成人数等要求与讨论接收预备党员的党支部党员大会相同。</w:t>
      </w:r>
    </w:p>
    <w:p w14:paraId="65A239B2">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第三十三条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党委对党支部上报的预备党员转正的决议，应当在三个月内审批。审批结果应当及时通知党支部。党支部书记应当同本人谈话，并将审批结果在党员大会上宣布。</w:t>
      </w:r>
    </w:p>
    <w:p w14:paraId="11E6D7C9">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党员的党龄，从预备期满转为正式党员之日算起。</w:t>
      </w:r>
    </w:p>
    <w:p w14:paraId="4B974574">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第三十四条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预备期未满的预备党员工作、学习所在单位或者居住地发生变动，应当及时报告原所在党组织。原所在党组织应当及时将对其培养教育和考察的情况，认真负责地介绍给接收预备党员的党组织。</w:t>
      </w:r>
    </w:p>
    <w:p w14:paraId="7492F4B1">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党组织应当对转入的预备党员的入党材料进行严格审查，对无法认定的预备党员，报县级以上党委组织部门批准，不予承认。</w:t>
      </w:r>
    </w:p>
    <w:p w14:paraId="6B3DA5B7">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第三十五条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基层党组织对转入的预备党员，在其预备期满时，如认为有必要，可以推迟讨论其转正问题，推迟时间不超过六个月。转为正式党员的，其转正时间自预备期满之日算起。</w:t>
      </w:r>
    </w:p>
    <w:p w14:paraId="777EF626">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第三十六条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预备党员转正后，党支部应当及时将其《中国共产党入党志愿书》、入党申请书、《入党积极分子培养考察登记表》、政治审查材料、《预备党员教育考察登记表》、转正申请书等，交党委存入本人人事档案。无人事档案的，建立党员档案，由所在党委或者县级党委组织部门保存。</w:t>
      </w:r>
    </w:p>
    <w:p w14:paraId="4F53BBE7">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有条件的地方和单位，实行党员档案电子化管理。</w:t>
      </w:r>
    </w:p>
    <w:p w14:paraId="005DD1DD">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第六章</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发展党员工作的领导和纪律</w:t>
      </w:r>
    </w:p>
    <w:p w14:paraId="432A0C82">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第三十七条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各级党委应当把发展党员工作列入重要议事日程，纳入党建工作责任制，作为党委(党组)书记抓基层党建工作述职评议考核、巡视巡察和党务公开的重要内容。对发展党员工作情况，各级地方党委要加强日常督促检查，及时发现和解决存在的问题。</w:t>
      </w:r>
    </w:p>
    <w:p w14:paraId="719EEE7A">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注重从青年和产业工人、农民、知识分子中发展党员，重视在生产、工作第一线发展党员，做好在新兴领域中发展党员工作，优化党员队伍结构。对具备发展党员条件但长期不做发展党员工作的基层党组织，上级党委应当加强指导和督促检查，必要时对其进行组织整顿。</w:t>
      </w:r>
    </w:p>
    <w:p w14:paraId="06CE31B3">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第三十八条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各级党委组织部门每年应当向同级党委和上级党委组织部门报告发展党员工作情况和发展党员工作计划，如实反映带有倾向性的问题和对违反规定发展党员的查处情况。</w:t>
      </w:r>
    </w:p>
    <w:p w14:paraId="69119674">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第三十九条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乡镇、街道、国有企业、高等学校等基层党委，按照规定配备一定数量的专兼职组织员。县级以上党委及其组织部门应当重视对组织员的选拔、配备和培训，加强业务指导和管理，充分发挥他们在发展党员工作中的作用。</w:t>
      </w:r>
    </w:p>
    <w:p w14:paraId="6CD3B31E">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第四十条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各级党委及其组织部门应当加强对流动党员党组织发展党员工作的领导和指导。具备发展党员条件的流动党员党组织，按照规定做好确定和培养教育入党积极分子、确定和考察发展对象以及预备党员的接收和转正等工作；尚不具备发展党员条件的，做好入党申请人的教育引导、入党积极分子的培养教育等工作，并及时向有关党组织介绍情况、转交相关材料。</w:t>
      </w:r>
    </w:p>
    <w:p w14:paraId="5A9AD229">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第四十一条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各级党组织对发展党员工作中出现的违规违纪问题和不正之风，应当严肃查处。</w:t>
      </w:r>
    </w:p>
    <w:p w14:paraId="6A25A81E">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对存在不坚持标准、不履行或者违反规定程序和培养考察失职、审查把关不严，采取弄虚作假或者其他手段把不符合党员条件的人发展为党员，为非党员出具党员身份证明等问题的党组织及相关责任人，以及不如实向党组织报告有关情况，篡改、伪造个人档案资料，隐瞒入党前严重错误的人员，应当依据《中国共产党纪律处分条例》和有关规定作出处理。</w:t>
      </w:r>
    </w:p>
    <w:p w14:paraId="62D77EEC">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对发展党员工作中的违规违纪典型案例，应当及时通报。对违反规定吸收入党的，应当综合分析研判，不符合党员条件的，一律不予承认党员身份，并在党支部党员大会上公布。</w:t>
      </w:r>
    </w:p>
    <w:p w14:paraId="1436362C">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第四十二条</w:t>
      </w:r>
      <w:r>
        <w:rPr>
          <w:rFonts w:hint="eastAsia" w:ascii="仿宋" w:hAnsi="仿宋" w:eastAsia="仿宋" w:cs="仿宋"/>
          <w:spacing w:val="15"/>
          <w:sz w:val="30"/>
          <w:szCs w:val="30"/>
          <w:lang w:val="en-US" w:eastAsia="zh-CN"/>
        </w:rPr>
        <w:t xml:space="preserve"> </w:t>
      </w:r>
      <w:r>
        <w:rPr>
          <w:rFonts w:ascii="仿宋" w:hAnsi="仿宋" w:eastAsia="仿宋" w:cs="仿宋"/>
          <w:spacing w:val="15"/>
          <w:sz w:val="30"/>
          <w:szCs w:val="30"/>
        </w:rPr>
        <w:t>《中国共产党入党志愿书》的式样由中央组织部负责制定，省级党委组织部门按照式样统一印制，并严格管理。</w:t>
      </w:r>
    </w:p>
    <w:p w14:paraId="3C8A0ED4">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《入党积极分子培养考察登记表》、《预备党员教育考察登记表》的式样由中央组织部负责制定，其印制、管理等由省级党委组织部门作出安排。</w:t>
      </w:r>
    </w:p>
    <w:p w14:paraId="3F3D7FC0">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第七章附则</w:t>
      </w:r>
    </w:p>
    <w:p w14:paraId="4110F831">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ascii="仿宋" w:hAnsi="仿宋" w:eastAsia="仿宋" w:cs="仿宋"/>
          <w:spacing w:val="15"/>
          <w:sz w:val="30"/>
          <w:szCs w:val="30"/>
        </w:rPr>
      </w:pPr>
      <w:r>
        <w:rPr>
          <w:rFonts w:ascii="仿宋" w:hAnsi="仿宋" w:eastAsia="仿宋" w:cs="仿宋"/>
          <w:spacing w:val="15"/>
          <w:sz w:val="30"/>
          <w:szCs w:val="30"/>
        </w:rPr>
        <w:t>第四十三条本细则由中央组织部负责解释。</w:t>
      </w:r>
    </w:p>
    <w:p w14:paraId="482920CC">
      <w:pPr>
        <w:keepNext w:val="0"/>
        <w:keepLines w:val="0"/>
        <w:pageBreakBefore w:val="0"/>
        <w:widowControl/>
        <w:kinsoku/>
        <w:wordWrap/>
        <w:overflowPunct w:val="0"/>
        <w:topLinePunct w:val="0"/>
        <w:autoSpaceDE w:val="0"/>
        <w:autoSpaceDN w:val="0"/>
        <w:bidi w:val="0"/>
        <w:adjustRightInd w:val="0"/>
        <w:snapToGrid w:val="0"/>
        <w:spacing w:before="15" w:line="339" w:lineRule="auto"/>
        <w:ind w:firstLine="649"/>
        <w:textAlignment w:val="baseline"/>
        <w:rPr>
          <w:rFonts w:hint="eastAsia" w:ascii="仿宋" w:hAnsi="仿宋" w:eastAsia="仿宋" w:cs="仿宋"/>
          <w:spacing w:val="15"/>
          <w:sz w:val="30"/>
          <w:szCs w:val="30"/>
          <w:lang w:val="en-US" w:eastAsia="zh-CN"/>
        </w:rPr>
      </w:pPr>
      <w:r>
        <w:rPr>
          <w:rFonts w:ascii="仿宋" w:hAnsi="仿宋" w:eastAsia="仿宋" w:cs="仿宋"/>
          <w:spacing w:val="15"/>
          <w:sz w:val="30"/>
          <w:szCs w:val="30"/>
        </w:rPr>
        <w:t>第四十四条本细则自发布之日起施行。</w:t>
      </w:r>
    </w:p>
    <w:sectPr>
      <w:footerReference r:id="rId14" w:type="default"/>
      <w:pgSz w:w="11907" w:h="16839"/>
      <w:pgMar w:top="1431" w:right="1482" w:bottom="1402" w:left="1521" w:header="0" w:footer="1201"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14662">
    <w:pPr>
      <w:spacing w:line="172" w:lineRule="auto"/>
      <w:ind w:left="4420"/>
      <w:rPr>
        <w:rFonts w:ascii="Times New Roman" w:hAnsi="Times New Roman" w:eastAsia="Times New Roman" w:cs="Times New Roman"/>
        <w:sz w:val="13"/>
        <w:szCs w:val="13"/>
      </w:rPr>
    </w:pPr>
    <w:r>
      <w:rPr>
        <w:sz w:val="13"/>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CBF9BF">
                          <w:pPr>
                            <w:pStyle w:val="4"/>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ACBF9BF">
                    <w:pPr>
                      <w:pStyle w:val="4"/>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FCF9F">
    <w:pPr>
      <w:spacing w:line="172" w:lineRule="auto"/>
      <w:ind w:left="4380"/>
      <w:rPr>
        <w:rFonts w:hint="default" w:ascii="Times New Roman" w:hAnsi="Times New Roman" w:eastAsia="宋体" w:cs="Times New Roman"/>
        <w:sz w:val="13"/>
        <w:szCs w:val="13"/>
        <w:lang w:val="en-US" w:eastAsia="zh-CN"/>
      </w:rPr>
    </w:pPr>
    <w:r>
      <w:rPr>
        <w:sz w:val="13"/>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3B697C">
                          <w:pPr>
                            <w:pStyle w:val="4"/>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23B697C">
                    <w:pPr>
                      <w:pStyle w:val="4"/>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29A09">
    <w:pPr>
      <w:spacing w:line="176" w:lineRule="auto"/>
      <w:ind w:left="443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378310">
                          <w:pPr>
                            <w:pStyle w:val="4"/>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15378310">
                    <w:pPr>
                      <w:pStyle w:val="4"/>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E331B">
    <w:pPr>
      <w:spacing w:line="173" w:lineRule="auto"/>
      <w:ind w:left="438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94876F">
                          <w:pPr>
                            <w:pStyle w:val="4"/>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0594876F">
                    <w:pPr>
                      <w:pStyle w:val="4"/>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A6E23">
    <w:pPr>
      <w:pStyle w:val="3"/>
      <w:spacing w:line="221" w:lineRule="exact"/>
      <w:ind w:left="4380"/>
      <w:rPr>
        <w:sz w:val="17"/>
        <w:szCs w:val="17"/>
      </w:rPr>
    </w:pPr>
    <w:r>
      <w:rPr>
        <w:sz w:val="17"/>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20AD0D">
                          <w:pPr>
                            <w:pStyle w:val="4"/>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3220AD0D">
                    <w:pPr>
                      <w:pStyle w:val="4"/>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5F6B4">
    <w:pPr>
      <w:spacing w:line="174" w:lineRule="auto"/>
      <w:ind w:left="4399"/>
      <w:rPr>
        <w:rFonts w:ascii="Times New Roman" w:hAnsi="Times New Roman" w:eastAsia="Times New Roman" w:cs="Times New Roman"/>
        <w:sz w:val="15"/>
        <w:szCs w:val="15"/>
      </w:rPr>
    </w:pPr>
    <w:r>
      <w:rPr>
        <w:sz w:val="15"/>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C3EED9">
                          <w:pPr>
                            <w:pStyle w:val="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24C3EED9">
                    <w:pPr>
                      <w:pStyle w:val="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D3E4F">
    <w:pPr>
      <w:spacing w:line="176" w:lineRule="auto"/>
      <w:ind w:left="438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662691">
                          <w:pPr>
                            <w:pStyle w:val="4"/>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09662691">
                    <w:pPr>
                      <w:pStyle w:val="4"/>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23EF2">
    <w:pPr>
      <w:spacing w:line="174" w:lineRule="auto"/>
      <w:ind w:left="4380"/>
      <w:rPr>
        <w:rFonts w:ascii="Times New Roman" w:hAnsi="Times New Roman" w:eastAsia="Times New Roman" w:cs="Times New Roman"/>
        <w:sz w:val="15"/>
        <w:szCs w:val="15"/>
      </w:rPr>
    </w:pPr>
    <w:r>
      <w:rPr>
        <w:sz w:val="15"/>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0A02E6">
                          <w:pPr>
                            <w:pStyle w:val="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180A02E6">
                    <w:pPr>
                      <w:pStyle w:val="4"/>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2E65E">
    <w:pPr>
      <w:spacing w:line="176" w:lineRule="auto"/>
      <w:ind w:left="436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68A76A">
                          <w:pPr>
                            <w:pStyle w:val="4"/>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4668A76A">
                    <w:pPr>
                      <w:pStyle w:val="4"/>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49429">
    <w:pPr>
      <w:spacing w:line="220" w:lineRule="auto"/>
      <w:ind w:left="436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A35FD5">
                          <w:pPr>
                            <w:pStyle w:val="4"/>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1DA35FD5">
                    <w:pPr>
                      <w:pStyle w:val="4"/>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009405A9"/>
    <w:rsid w:val="047223C8"/>
    <w:rsid w:val="06F102D3"/>
    <w:rsid w:val="07346FB6"/>
    <w:rsid w:val="10243681"/>
    <w:rsid w:val="125712C6"/>
    <w:rsid w:val="12CB20B3"/>
    <w:rsid w:val="13BF09EE"/>
    <w:rsid w:val="155F79D7"/>
    <w:rsid w:val="181F53A8"/>
    <w:rsid w:val="18E1341B"/>
    <w:rsid w:val="1E9B6843"/>
    <w:rsid w:val="1F4C7E66"/>
    <w:rsid w:val="2B6D7ACB"/>
    <w:rsid w:val="2C772889"/>
    <w:rsid w:val="30CA4CB3"/>
    <w:rsid w:val="343A12B1"/>
    <w:rsid w:val="3A585A70"/>
    <w:rsid w:val="3C3A4DDB"/>
    <w:rsid w:val="438E56E3"/>
    <w:rsid w:val="44DA543B"/>
    <w:rsid w:val="47C44F56"/>
    <w:rsid w:val="49567D19"/>
    <w:rsid w:val="4DC07F2D"/>
    <w:rsid w:val="4F8A149D"/>
    <w:rsid w:val="53026A36"/>
    <w:rsid w:val="58064B79"/>
    <w:rsid w:val="5A3E3CD2"/>
    <w:rsid w:val="5C61531C"/>
    <w:rsid w:val="5D356E68"/>
    <w:rsid w:val="5FD81F33"/>
    <w:rsid w:val="62004FA2"/>
    <w:rsid w:val="64A96A2B"/>
    <w:rsid w:val="68AB5573"/>
    <w:rsid w:val="6B6D21C1"/>
    <w:rsid w:val="70E41AFF"/>
    <w:rsid w:val="72962B51"/>
    <w:rsid w:val="76622145"/>
    <w:rsid w:val="7A6013FE"/>
    <w:rsid w:val="7D85227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link w:val="13"/>
    <w:qFormat/>
    <w:uiPriority w:val="0"/>
    <w:pPr>
      <w:keepNext/>
      <w:keepLines/>
      <w:spacing w:beforeLines="0" w:beforeAutospacing="0" w:afterLines="0" w:afterAutospacing="0" w:line="360" w:lineRule="auto"/>
      <w:jc w:val="center"/>
      <w:outlineLvl w:val="0"/>
    </w:pPr>
    <w:rPr>
      <w:rFonts w:ascii="Arial" w:hAnsi="Arial" w:eastAsia="微软雅黑"/>
      <w:b/>
      <w:kern w:val="44"/>
      <w:sz w:val="36"/>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微软雅黑" w:hAnsi="微软雅黑" w:eastAsia="微软雅黑" w:cs="微软雅黑"/>
      <w:sz w:val="88"/>
      <w:szCs w:val="88"/>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0">
    <w:name w:val="Strong"/>
    <w:basedOn w:val="9"/>
    <w:qFormat/>
    <w:uiPriority w:val="0"/>
    <w:rPr>
      <w:b/>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WPSOffice手动目录 1"/>
    <w:qFormat/>
    <w:uiPriority w:val="0"/>
    <w:pPr>
      <w:ind w:leftChars="0"/>
    </w:pPr>
    <w:rPr>
      <w:rFonts w:ascii="Arial" w:hAnsi="Arial" w:eastAsia="Arial" w:cs="Arial"/>
      <w:sz w:val="20"/>
      <w:szCs w:val="20"/>
    </w:rPr>
  </w:style>
  <w:style w:type="character" w:customStyle="1" w:styleId="13">
    <w:name w:val="标题 1 Char"/>
    <w:link w:val="2"/>
    <w:qFormat/>
    <w:uiPriority w:val="0"/>
    <w:rPr>
      <w:rFonts w:ascii="Arial" w:hAnsi="Arial" w:eastAsia="微软雅黑"/>
      <w:b/>
      <w:kern w:val="44"/>
      <w:sz w:val="36"/>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26</Pages>
  <Words>17036</Words>
  <Characters>17102</Characters>
  <TotalTime>4</TotalTime>
  <ScaleCrop>false</ScaleCrop>
  <LinksUpToDate>false</LinksUpToDate>
  <CharactersWithSpaces>17293</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2024-01-18T16:14:00Z</dcterms:created>
  <dc:creator>Administrator</dc:creator>
  <cp:lastModifiedBy>张师宁</cp:lastModifiedBy>
  <cp:lastPrinted>2026-03-20T06:50:00Z</cp:lastPrinted>
  <dcterms:modified xsi:type="dcterms:W3CDTF">2026-06-12T02:34:26Z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2025-03-13T16:10:59Z</vt:filetime>
  </property>
  <property fmtid="{D5CDD505-2E9C-101B-9397-08002B2CF9AE}" pid="4" name="KSOTemplateDocerSaveRecord">
    <vt:lpwstr>eyJoZGlkIjoiYjQ0OGVmNzc3ZDcyNzQ3NjE5MGQxYzFmZTBmZTVkMjYiLCJ1c2VySWQiOiIxODU2NzU0Nzg0In0=</vt:lpwstr>
  </property>
  <property fmtid="{D5CDD505-2E9C-101B-9397-08002B2CF9AE}" pid="5" name="KSOProductBuildVer">
    <vt:lpwstr>2052-12.1.0.26895</vt:lpwstr>
  </property>
  <property fmtid="{D5CDD505-2E9C-101B-9397-08002B2CF9AE}" pid="6" name="ICV">
    <vt:lpwstr>95F5D65B5EDD418D87251531346BB543_13</vt:lpwstr>
  </property>
</Properties>
</file>