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A8A8E">
      <w:pPr>
        <w:spacing w:line="85" w:lineRule="exact"/>
      </w:pPr>
    </w:p>
    <w:p w14:paraId="57632818">
      <w:pPr>
        <w:spacing w:line="85" w:lineRule="exact"/>
        <w:sectPr>
          <w:pgSz w:w="11907" w:h="16839"/>
          <w:pgMar w:top="1431" w:right="570" w:bottom="0" w:left="1432" w:header="0" w:footer="0" w:gutter="0"/>
          <w:pgNumType w:fmt="decimal"/>
          <w:cols w:equalWidth="0" w:num="1">
            <w:col w:w="9903"/>
          </w:cols>
        </w:sectPr>
      </w:pPr>
    </w:p>
    <w:p w14:paraId="650132FE">
      <w:pPr>
        <w:pStyle w:val="3"/>
        <w:spacing w:before="162" w:line="12869" w:lineRule="exact"/>
      </w:pPr>
      <w:r>
        <w:rPr>
          <w:position w:val="-257"/>
        </w:rPr>
        <w:pict>
          <v:shape id="_x0000_s1026" o:spid="_x0000_s1026" o:spt="202" type="#_x0000_t202" style="height:643.45pt;width:124.2pt;" fillcolor="#FF0000" filled="t" stroked="f" coordsize="21600,21600">
            <v:path/>
            <v:fill on="t" focussize="0,0"/>
            <v:stroke on="f"/>
            <v:imagedata o:title=""/>
            <o:lock v:ext="edit" aspectratio="f"/>
            <v:textbox inset="0mm,0mm,0mm,0mm" style="layout-flow:vertical-ideographic;">
              <w:txbxContent>
                <w:p w14:paraId="3E9885F4">
                  <w:pPr>
                    <w:spacing w:line="242" w:lineRule="auto"/>
                    <w:rPr>
                      <w:rFonts w:ascii="Arial"/>
                      <w:sz w:val="21"/>
                    </w:rPr>
                  </w:pPr>
                </w:p>
                <w:p w14:paraId="107C804A">
                  <w:pPr>
                    <w:spacing w:line="242" w:lineRule="auto"/>
                    <w:rPr>
                      <w:rFonts w:ascii="Arial"/>
                      <w:sz w:val="21"/>
                    </w:rPr>
                  </w:pPr>
                </w:p>
                <w:p w14:paraId="60164ACF">
                  <w:pPr>
                    <w:spacing w:before="388" w:line="177" w:lineRule="auto"/>
                    <w:ind w:firstLine="888" w:firstLineChars="100"/>
                    <w:rPr>
                      <w:rFonts w:ascii="微软雅黑" w:hAnsi="微软雅黑" w:eastAsia="微软雅黑" w:cs="微软雅黑"/>
                      <w:sz w:val="88"/>
                      <w:szCs w:val="88"/>
                    </w:rPr>
                  </w:pPr>
                  <w:bookmarkStart w:id="24" w:name="bookmark1"/>
                  <w:bookmarkEnd w:id="24"/>
                  <w:r>
                    <w:rPr>
                      <w:rFonts w:ascii="微软雅黑" w:hAnsi="微软雅黑" w:eastAsia="微软雅黑" w:cs="微软雅黑"/>
                      <w:b/>
                      <w:bCs/>
                      <w:color w:val="FFFFFF"/>
                      <w:spacing w:val="4"/>
                      <w:sz w:val="88"/>
                      <w:szCs w:val="88"/>
                    </w:rPr>
                    <w:t>理</w:t>
                  </w:r>
                  <w:r>
                    <w:rPr>
                      <w:rFonts w:ascii="微软雅黑" w:hAnsi="微软雅黑" w:eastAsia="微软雅黑" w:cs="微软雅黑"/>
                      <w:b/>
                      <w:bCs/>
                      <w:color w:val="FFFFFF"/>
                      <w:spacing w:val="194"/>
                      <w:sz w:val="88"/>
                      <w:szCs w:val="88"/>
                    </w:rPr>
                    <w:t xml:space="preserve"> </w:t>
                  </w:r>
                  <w:r>
                    <w:rPr>
                      <w:rFonts w:ascii="微软雅黑" w:hAnsi="微软雅黑" w:eastAsia="微软雅黑" w:cs="微软雅黑"/>
                      <w:b/>
                      <w:bCs/>
                      <w:color w:val="FFFFFF"/>
                      <w:spacing w:val="4"/>
                      <w:sz w:val="88"/>
                      <w:szCs w:val="88"/>
                    </w:rPr>
                    <w:t>论</w:t>
                  </w:r>
                  <w:r>
                    <w:rPr>
                      <w:rFonts w:ascii="微软雅黑" w:hAnsi="微软雅黑" w:eastAsia="微软雅黑" w:cs="微软雅黑"/>
                      <w:b/>
                      <w:bCs/>
                      <w:color w:val="FFFFFF"/>
                      <w:spacing w:val="147"/>
                      <w:sz w:val="88"/>
                      <w:szCs w:val="88"/>
                    </w:rPr>
                    <w:t xml:space="preserve"> </w:t>
                  </w:r>
                  <w:r>
                    <w:rPr>
                      <w:rFonts w:ascii="微软雅黑" w:hAnsi="微软雅黑" w:eastAsia="微软雅黑" w:cs="微软雅黑"/>
                      <w:b/>
                      <w:bCs/>
                      <w:color w:val="FFFFFF"/>
                      <w:spacing w:val="4"/>
                      <w:sz w:val="88"/>
                      <w:szCs w:val="88"/>
                    </w:rPr>
                    <w:t>中</w:t>
                  </w:r>
                  <w:r>
                    <w:rPr>
                      <w:rFonts w:ascii="微软雅黑" w:hAnsi="微软雅黑" w:eastAsia="微软雅黑" w:cs="微软雅黑"/>
                      <w:b/>
                      <w:bCs/>
                      <w:color w:val="FFFFFF"/>
                      <w:spacing w:val="164"/>
                      <w:sz w:val="88"/>
                      <w:szCs w:val="88"/>
                    </w:rPr>
                    <w:t xml:space="preserve"> </w:t>
                  </w:r>
                  <w:r>
                    <w:rPr>
                      <w:rFonts w:ascii="微软雅黑" w:hAnsi="微软雅黑" w:eastAsia="微软雅黑" w:cs="微软雅黑"/>
                      <w:b/>
                      <w:bCs/>
                      <w:color w:val="FFFFFF"/>
                      <w:spacing w:val="4"/>
                      <w:sz w:val="88"/>
                      <w:szCs w:val="88"/>
                    </w:rPr>
                    <w:t>心</w:t>
                  </w:r>
                  <w:r>
                    <w:rPr>
                      <w:rFonts w:ascii="微软雅黑" w:hAnsi="微软雅黑" w:eastAsia="微软雅黑" w:cs="微软雅黑"/>
                      <w:b/>
                      <w:bCs/>
                      <w:color w:val="FFFFFF"/>
                      <w:spacing w:val="141"/>
                      <w:sz w:val="88"/>
                      <w:szCs w:val="88"/>
                    </w:rPr>
                    <w:t xml:space="preserve"> </w:t>
                  </w:r>
                  <w:r>
                    <w:rPr>
                      <w:rFonts w:ascii="微软雅黑" w:hAnsi="微软雅黑" w:eastAsia="微软雅黑" w:cs="微软雅黑"/>
                      <w:b/>
                      <w:bCs/>
                      <w:color w:val="FFFFFF"/>
                      <w:spacing w:val="4"/>
                      <w:sz w:val="88"/>
                      <w:szCs w:val="88"/>
                    </w:rPr>
                    <w:t>组</w:t>
                  </w:r>
                  <w:r>
                    <w:rPr>
                      <w:rFonts w:ascii="微软雅黑" w:hAnsi="微软雅黑" w:eastAsia="微软雅黑" w:cs="微软雅黑"/>
                      <w:b/>
                      <w:bCs/>
                      <w:color w:val="FFFFFF"/>
                      <w:spacing w:val="160"/>
                      <w:sz w:val="88"/>
                      <w:szCs w:val="88"/>
                    </w:rPr>
                    <w:t xml:space="preserve"> </w:t>
                  </w:r>
                  <w:r>
                    <w:rPr>
                      <w:rFonts w:ascii="微软雅黑" w:hAnsi="微软雅黑" w:eastAsia="微软雅黑" w:cs="微软雅黑"/>
                      <w:b/>
                      <w:bCs/>
                      <w:color w:val="FFFFFF"/>
                      <w:spacing w:val="4"/>
                      <w:sz w:val="88"/>
                      <w:szCs w:val="88"/>
                    </w:rPr>
                    <w:t>学</w:t>
                  </w:r>
                  <w:r>
                    <w:rPr>
                      <w:rFonts w:ascii="微软雅黑" w:hAnsi="微软雅黑" w:eastAsia="微软雅黑" w:cs="微软雅黑"/>
                      <w:b/>
                      <w:bCs/>
                      <w:color w:val="FFFFFF"/>
                      <w:spacing w:val="155"/>
                      <w:sz w:val="88"/>
                      <w:szCs w:val="88"/>
                    </w:rPr>
                    <w:t xml:space="preserve"> </w:t>
                  </w:r>
                  <w:r>
                    <w:rPr>
                      <w:rFonts w:ascii="微软雅黑" w:hAnsi="微软雅黑" w:eastAsia="微软雅黑" w:cs="微软雅黑"/>
                      <w:b/>
                      <w:bCs/>
                      <w:color w:val="FFFFFF"/>
                      <w:spacing w:val="4"/>
                      <w:sz w:val="88"/>
                      <w:szCs w:val="88"/>
                    </w:rPr>
                    <w:t>习</w:t>
                  </w:r>
                  <w:r>
                    <w:rPr>
                      <w:rFonts w:ascii="微软雅黑" w:hAnsi="微软雅黑" w:eastAsia="微软雅黑" w:cs="微软雅黑"/>
                      <w:b/>
                      <w:bCs/>
                      <w:color w:val="FFFFFF"/>
                      <w:spacing w:val="140"/>
                      <w:sz w:val="88"/>
                      <w:szCs w:val="88"/>
                    </w:rPr>
                    <w:t xml:space="preserve"> </w:t>
                  </w:r>
                  <w:r>
                    <w:rPr>
                      <w:rFonts w:ascii="微软雅黑" w:hAnsi="微软雅黑" w:eastAsia="微软雅黑" w:cs="微软雅黑"/>
                      <w:b/>
                      <w:bCs/>
                      <w:color w:val="FFFFFF"/>
                      <w:spacing w:val="4"/>
                      <w:sz w:val="88"/>
                      <w:szCs w:val="88"/>
                    </w:rPr>
                    <w:t>材</w:t>
                  </w:r>
                  <w:r>
                    <w:rPr>
                      <w:rFonts w:ascii="微软雅黑" w:hAnsi="微软雅黑" w:eastAsia="微软雅黑" w:cs="微软雅黑"/>
                      <w:b/>
                      <w:bCs/>
                      <w:color w:val="FFFFFF"/>
                      <w:spacing w:val="149"/>
                      <w:sz w:val="88"/>
                      <w:szCs w:val="88"/>
                    </w:rPr>
                    <w:t xml:space="preserve"> </w:t>
                  </w:r>
                  <w:r>
                    <w:rPr>
                      <w:rFonts w:ascii="微软雅黑" w:hAnsi="微软雅黑" w:eastAsia="微软雅黑" w:cs="微软雅黑"/>
                      <w:b/>
                      <w:bCs/>
                      <w:color w:val="FFFFFF"/>
                      <w:spacing w:val="4"/>
                      <w:sz w:val="88"/>
                      <w:szCs w:val="88"/>
                    </w:rPr>
                    <w:t>料</w:t>
                  </w:r>
                </w:p>
                <w:p w14:paraId="5DF8A1F5">
                  <w:pPr>
                    <w:spacing w:before="388" w:line="177" w:lineRule="auto"/>
                    <w:rPr>
                      <w:rFonts w:ascii="微软雅黑" w:hAnsi="微软雅黑" w:eastAsia="微软雅黑" w:cs="微软雅黑"/>
                      <w:sz w:val="88"/>
                      <w:szCs w:val="88"/>
                    </w:rPr>
                  </w:pPr>
                </w:p>
              </w:txbxContent>
            </v:textbox>
            <w10:wrap type="none"/>
            <w10:anchorlock/>
          </v:shape>
        </w:pict>
      </w:r>
    </w:p>
    <w:p w14:paraId="794522ED">
      <w:pPr>
        <w:spacing w:line="14" w:lineRule="auto"/>
        <w:rPr>
          <w:rFonts w:ascii="Arial"/>
          <w:sz w:val="2"/>
        </w:rPr>
      </w:pPr>
      <w:r>
        <w:rPr>
          <w:rFonts w:ascii="Arial" w:hAnsi="Arial" w:eastAsia="Arial" w:cs="Arial"/>
          <w:sz w:val="2"/>
          <w:szCs w:val="2"/>
        </w:rPr>
        <w:br w:type="column"/>
      </w:r>
    </w:p>
    <w:p w14:paraId="490CE356">
      <w:pPr>
        <w:pStyle w:val="3"/>
        <w:spacing w:before="324" w:line="212" w:lineRule="auto"/>
        <w:ind w:left="1900"/>
        <w:rPr>
          <w:sz w:val="40"/>
          <w:szCs w:val="40"/>
        </w:rPr>
      </w:pPr>
      <w:r>
        <w:rPr>
          <w:spacing w:val="-28"/>
          <w:sz w:val="40"/>
          <w:szCs w:val="40"/>
        </w:rPr>
        <w:t>202</w:t>
      </w:r>
      <w:r>
        <w:rPr>
          <w:rFonts w:hint="eastAsia"/>
          <w:spacing w:val="-28"/>
          <w:sz w:val="40"/>
          <w:szCs w:val="40"/>
          <w:lang w:val="en-US" w:eastAsia="zh-CN"/>
        </w:rPr>
        <w:t>6</w:t>
      </w:r>
      <w:r>
        <w:rPr>
          <w:spacing w:val="-28"/>
          <w:sz w:val="40"/>
          <w:szCs w:val="40"/>
        </w:rPr>
        <w:t xml:space="preserve"> 年</w:t>
      </w:r>
      <w:r>
        <w:rPr>
          <w:rFonts w:hint="eastAsia"/>
          <w:spacing w:val="-28"/>
          <w:sz w:val="40"/>
          <w:szCs w:val="40"/>
          <w:lang w:val="en-US" w:eastAsia="zh-CN"/>
        </w:rPr>
        <w:t xml:space="preserve"> 5</w:t>
      </w:r>
      <w:r>
        <w:rPr>
          <w:spacing w:val="-28"/>
          <w:sz w:val="40"/>
          <w:szCs w:val="40"/>
        </w:rPr>
        <w:t>月</w:t>
      </w:r>
      <w:r>
        <w:rPr>
          <w:rFonts w:hint="eastAsia"/>
          <w:spacing w:val="-28"/>
          <w:sz w:val="40"/>
          <w:szCs w:val="40"/>
          <w:lang w:val="en-US" w:eastAsia="zh-CN"/>
        </w:rPr>
        <w:t xml:space="preserve"> 8</w:t>
      </w:r>
      <w:r>
        <w:rPr>
          <w:spacing w:val="-28"/>
          <w:sz w:val="40"/>
          <w:szCs w:val="40"/>
        </w:rPr>
        <w:t>日</w:t>
      </w:r>
    </w:p>
    <w:p w14:paraId="654E6B26">
      <w:pPr>
        <w:pStyle w:val="3"/>
        <w:spacing w:before="218" w:line="207" w:lineRule="auto"/>
        <w:ind w:left="2203"/>
        <w:rPr>
          <w:rFonts w:ascii="Arial"/>
          <w:sz w:val="21"/>
        </w:rPr>
      </w:pPr>
      <w:r>
        <w:rPr>
          <w:spacing w:val="-10"/>
          <w:sz w:val="28"/>
          <w:szCs w:val="28"/>
        </w:rPr>
        <w:t>（202</w:t>
      </w:r>
      <w:r>
        <w:rPr>
          <w:rFonts w:hint="eastAsia"/>
          <w:spacing w:val="-10"/>
          <w:sz w:val="28"/>
          <w:szCs w:val="28"/>
          <w:lang w:val="en-US" w:eastAsia="zh-CN"/>
        </w:rPr>
        <w:t>6</w:t>
      </w:r>
      <w:r>
        <w:rPr>
          <w:spacing w:val="-10"/>
          <w:sz w:val="28"/>
          <w:szCs w:val="28"/>
        </w:rPr>
        <w:t xml:space="preserve"> 年</w:t>
      </w:r>
      <w:r>
        <w:rPr>
          <w:rFonts w:hint="eastAsia"/>
          <w:spacing w:val="-10"/>
          <w:sz w:val="28"/>
          <w:szCs w:val="28"/>
          <w:lang w:val="en-US" w:eastAsia="zh-CN"/>
        </w:rPr>
        <w:t xml:space="preserve"> </w:t>
      </w:r>
      <w:r>
        <w:rPr>
          <w:spacing w:val="-10"/>
          <w:sz w:val="28"/>
          <w:szCs w:val="28"/>
        </w:rPr>
        <w:t xml:space="preserve">第 </w:t>
      </w:r>
      <w:r>
        <w:rPr>
          <w:rFonts w:hint="eastAsia"/>
          <w:spacing w:val="-10"/>
          <w:sz w:val="28"/>
          <w:szCs w:val="28"/>
          <w:lang w:val="en-US" w:eastAsia="zh-CN"/>
        </w:rPr>
        <w:t xml:space="preserve">9 </w:t>
      </w:r>
      <w:r>
        <w:rPr>
          <w:spacing w:val="-10"/>
          <w:sz w:val="28"/>
          <w:szCs w:val="28"/>
        </w:rPr>
        <w:t>期）</w:t>
      </w:r>
    </w:p>
    <w:p w14:paraId="2364156B">
      <w:pPr>
        <w:spacing w:line="260" w:lineRule="auto"/>
        <w:rPr>
          <w:rFonts w:ascii="Arial"/>
          <w:sz w:val="21"/>
        </w:rPr>
      </w:pPr>
    </w:p>
    <w:sdt>
      <w:sdtPr>
        <w:rPr>
          <w:rFonts w:hint="eastAsia" w:ascii="楷体" w:hAnsi="楷体" w:eastAsia="楷体" w:cs="楷体"/>
          <w:snapToGrid w:val="0"/>
          <w:color w:val="000000"/>
          <w:kern w:val="0"/>
          <w:sz w:val="21"/>
          <w:szCs w:val="21"/>
          <w:lang w:val="en-US" w:eastAsia="en-US" w:bidi="ar-SA"/>
        </w:rPr>
        <w:id w:val="147466167"/>
        <w15:color w:val="DBDBDB"/>
        <w:docPartObj>
          <w:docPartGallery w:val="Table of Contents"/>
          <w:docPartUnique/>
        </w:docPartObj>
      </w:sdtPr>
      <w:sdtEndPr>
        <w:rPr>
          <w:rFonts w:hint="eastAsia" w:ascii="楷体" w:hAnsi="楷体" w:eastAsia="楷体" w:cs="楷体"/>
          <w:snapToGrid w:val="0"/>
          <w:color w:val="000000"/>
          <w:kern w:val="0"/>
          <w:sz w:val="31"/>
          <w:szCs w:val="31"/>
          <w:lang w:val="en-US" w:eastAsia="en-US" w:bidi="ar-SA"/>
        </w:rPr>
      </w:sdtEndPr>
      <w:sdtContent>
        <w:p w14:paraId="0C87FECD">
          <w:pPr>
            <w:spacing w:before="0" w:beforeLines="0" w:after="0" w:afterLines="0" w:line="240" w:lineRule="auto"/>
            <w:ind w:left="0" w:leftChars="0" w:right="0" w:rightChars="0" w:firstLine="0" w:firstLineChars="0"/>
            <w:jc w:val="center"/>
            <w:rPr>
              <w:rFonts w:hint="eastAsia" w:ascii="楷体" w:hAnsi="楷体" w:eastAsia="楷体" w:cs="楷体"/>
              <w:sz w:val="31"/>
              <w:szCs w:val="31"/>
            </w:rPr>
          </w:pPr>
          <w:r>
            <w:rPr>
              <w:rFonts w:hint="eastAsia" w:ascii="楷体" w:hAnsi="楷体" w:eastAsia="楷体" w:cs="楷体"/>
              <w:sz w:val="31"/>
              <w:szCs w:val="31"/>
            </w:rPr>
            <w:t>目</w:t>
          </w:r>
          <w:r>
            <w:rPr>
              <w:rFonts w:hint="eastAsia" w:ascii="楷体" w:hAnsi="楷体" w:eastAsia="楷体" w:cs="楷体"/>
              <w:sz w:val="31"/>
              <w:szCs w:val="31"/>
              <w:lang w:val="en-US" w:eastAsia="zh-CN"/>
            </w:rPr>
            <w:t xml:space="preserve">  </w:t>
          </w:r>
          <w:r>
            <w:rPr>
              <w:rFonts w:hint="eastAsia" w:ascii="楷体" w:hAnsi="楷体" w:eastAsia="楷体" w:cs="楷体"/>
              <w:sz w:val="31"/>
              <w:szCs w:val="31"/>
            </w:rPr>
            <w:t>录</w:t>
          </w:r>
        </w:p>
        <w:p w14:paraId="3DE6BCFD">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480" w:lineRule="exact"/>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1.</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TOC \o "1-3" \h \u </w:instrText>
          </w:r>
          <w:r>
            <w:rPr>
              <w:rFonts w:hint="eastAsia" w:ascii="楷体" w:hAnsi="楷体" w:eastAsia="楷体" w:cs="楷体"/>
              <w:sz w:val="31"/>
              <w:szCs w:val="31"/>
            </w:rPr>
            <w:fldChar w:fldCharType="separate"/>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_Toc23187 </w:instrText>
          </w:r>
          <w:r>
            <w:rPr>
              <w:rFonts w:hint="eastAsia" w:ascii="楷体" w:hAnsi="楷体" w:eastAsia="楷体" w:cs="楷体"/>
              <w:sz w:val="31"/>
              <w:szCs w:val="31"/>
            </w:rPr>
            <w:fldChar w:fldCharType="separate"/>
          </w:r>
          <w:r>
            <w:rPr>
              <w:rFonts w:hint="eastAsia" w:ascii="楷体" w:hAnsi="楷体" w:eastAsia="楷体" w:cs="楷体"/>
              <w:sz w:val="31"/>
              <w:szCs w:val="31"/>
            </w:rPr>
            <w:t>中共中央政治局召开会议</w:t>
          </w:r>
          <w:r>
            <w:rPr>
              <w:rFonts w:hint="eastAsia" w:ascii="楷体" w:hAnsi="楷体" w:eastAsia="楷体" w:cs="楷体"/>
              <w:sz w:val="31"/>
              <w:szCs w:val="31"/>
            </w:rPr>
            <w:fldChar w:fldCharType="end"/>
          </w:r>
          <w:r>
            <w:rPr>
              <w:rFonts w:hint="eastAsia" w:ascii="楷体" w:hAnsi="楷体" w:eastAsia="楷体" w:cs="楷体"/>
              <w:sz w:val="31"/>
              <w:szCs w:val="31"/>
              <w:lang w:val="en-US" w:eastAsia="zh-CN"/>
            </w:rPr>
            <w:t xml:space="preserve">  </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_Toc29534 </w:instrText>
          </w:r>
          <w:r>
            <w:rPr>
              <w:rFonts w:hint="eastAsia" w:ascii="楷体" w:hAnsi="楷体" w:eastAsia="楷体" w:cs="楷体"/>
              <w:sz w:val="31"/>
              <w:szCs w:val="31"/>
            </w:rPr>
            <w:fldChar w:fldCharType="separate"/>
          </w:r>
          <w:r>
            <w:rPr>
              <w:rFonts w:hint="eastAsia" w:ascii="楷体" w:hAnsi="楷体" w:eastAsia="楷体" w:cs="楷体"/>
              <w:sz w:val="31"/>
              <w:szCs w:val="31"/>
            </w:rPr>
            <w:t>分析研究当前经济形势和经济工作</w:t>
          </w:r>
          <w:r>
            <w:rPr>
              <w:rFonts w:hint="eastAsia" w:ascii="楷体" w:hAnsi="楷体" w:eastAsia="楷体" w:cs="楷体"/>
              <w:sz w:val="31"/>
              <w:szCs w:val="31"/>
            </w:rPr>
            <w:fldChar w:fldCharType="end"/>
          </w:r>
          <w:r>
            <w:rPr>
              <w:rFonts w:hint="eastAsia" w:ascii="楷体" w:hAnsi="楷体" w:eastAsia="楷体" w:cs="楷体"/>
              <w:sz w:val="31"/>
              <w:szCs w:val="31"/>
              <w:lang w:val="en-US" w:eastAsia="zh-CN"/>
            </w:rPr>
            <w:t xml:space="preserve">  </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_Toc12983 </w:instrText>
          </w:r>
          <w:r>
            <w:rPr>
              <w:rFonts w:hint="eastAsia" w:ascii="楷体" w:hAnsi="楷体" w:eastAsia="楷体" w:cs="楷体"/>
              <w:sz w:val="31"/>
              <w:szCs w:val="31"/>
            </w:rPr>
            <w:fldChar w:fldCharType="separate"/>
          </w:r>
          <w:r>
            <w:rPr>
              <w:rFonts w:hint="eastAsia" w:ascii="楷体" w:hAnsi="楷体" w:eastAsia="楷体" w:cs="楷体"/>
              <w:sz w:val="31"/>
              <w:szCs w:val="31"/>
            </w:rPr>
            <w:t>中共中央总书记习近平主持会议</w:t>
          </w:r>
          <w:r>
            <w:rPr>
              <w:rFonts w:hint="eastAsia" w:ascii="楷体" w:hAnsi="楷体" w:eastAsia="楷体" w:cs="楷体"/>
              <w:sz w:val="31"/>
              <w:szCs w:val="31"/>
            </w:rPr>
            <w:tab/>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PAGEREF _Toc12983 \h </w:instrText>
          </w:r>
          <w:r>
            <w:rPr>
              <w:rFonts w:hint="eastAsia" w:ascii="楷体" w:hAnsi="楷体" w:eastAsia="楷体" w:cs="楷体"/>
              <w:sz w:val="31"/>
              <w:szCs w:val="31"/>
            </w:rPr>
            <w:fldChar w:fldCharType="separate"/>
          </w:r>
          <w:r>
            <w:rPr>
              <w:rFonts w:hint="eastAsia" w:ascii="楷体" w:hAnsi="楷体" w:eastAsia="楷体" w:cs="楷体"/>
              <w:sz w:val="31"/>
              <w:szCs w:val="31"/>
            </w:rPr>
            <w:t>1</w:t>
          </w:r>
          <w:r>
            <w:rPr>
              <w:rFonts w:hint="eastAsia" w:ascii="楷体" w:hAnsi="楷体" w:eastAsia="楷体" w:cs="楷体"/>
              <w:sz w:val="31"/>
              <w:szCs w:val="31"/>
            </w:rPr>
            <w:fldChar w:fldCharType="end"/>
          </w:r>
          <w:r>
            <w:rPr>
              <w:rFonts w:hint="eastAsia" w:ascii="楷体" w:hAnsi="楷体" w:eastAsia="楷体" w:cs="楷体"/>
              <w:sz w:val="31"/>
              <w:szCs w:val="31"/>
            </w:rPr>
            <w:fldChar w:fldCharType="end"/>
          </w:r>
        </w:p>
        <w:p w14:paraId="644FAB1A">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480" w:lineRule="exact"/>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2.</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_Toc9581 </w:instrText>
          </w:r>
          <w:r>
            <w:rPr>
              <w:rFonts w:hint="eastAsia" w:ascii="楷体" w:hAnsi="楷体" w:eastAsia="楷体" w:cs="楷体"/>
              <w:sz w:val="31"/>
              <w:szCs w:val="31"/>
            </w:rPr>
            <w:fldChar w:fldCharType="separate"/>
          </w:r>
          <w:r>
            <w:rPr>
              <w:rFonts w:hint="eastAsia" w:ascii="楷体" w:hAnsi="楷体" w:eastAsia="楷体" w:cs="楷体"/>
              <w:sz w:val="31"/>
              <w:szCs w:val="31"/>
            </w:rPr>
            <w:t>习近平主持二十届中共中央政治局第二十五次 集体学习</w:t>
          </w:r>
          <w:r>
            <w:rPr>
              <w:rFonts w:hint="eastAsia" w:ascii="楷体" w:hAnsi="楷体" w:eastAsia="楷体" w:cs="楷体"/>
              <w:sz w:val="31"/>
              <w:szCs w:val="31"/>
            </w:rPr>
            <w:tab/>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PAGEREF _Toc9581 \h </w:instrText>
          </w:r>
          <w:r>
            <w:rPr>
              <w:rFonts w:hint="eastAsia" w:ascii="楷体" w:hAnsi="楷体" w:eastAsia="楷体" w:cs="楷体"/>
              <w:sz w:val="31"/>
              <w:szCs w:val="31"/>
            </w:rPr>
            <w:fldChar w:fldCharType="separate"/>
          </w:r>
          <w:r>
            <w:rPr>
              <w:rFonts w:hint="eastAsia" w:ascii="楷体" w:hAnsi="楷体" w:eastAsia="楷体" w:cs="楷体"/>
              <w:sz w:val="31"/>
              <w:szCs w:val="31"/>
            </w:rPr>
            <w:t>4</w:t>
          </w:r>
          <w:r>
            <w:rPr>
              <w:rFonts w:hint="eastAsia" w:ascii="楷体" w:hAnsi="楷体" w:eastAsia="楷体" w:cs="楷体"/>
              <w:sz w:val="31"/>
              <w:szCs w:val="31"/>
            </w:rPr>
            <w:fldChar w:fldCharType="end"/>
          </w:r>
          <w:r>
            <w:rPr>
              <w:rFonts w:hint="eastAsia" w:ascii="楷体" w:hAnsi="楷体" w:eastAsia="楷体" w:cs="楷体"/>
              <w:sz w:val="31"/>
              <w:szCs w:val="31"/>
            </w:rPr>
            <w:fldChar w:fldCharType="end"/>
          </w:r>
        </w:p>
        <w:p w14:paraId="40A7C948">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480" w:lineRule="exact"/>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3.</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_Toc4412 </w:instrText>
          </w:r>
          <w:r>
            <w:rPr>
              <w:rFonts w:hint="eastAsia" w:ascii="楷体" w:hAnsi="楷体" w:eastAsia="楷体" w:cs="楷体"/>
              <w:sz w:val="31"/>
              <w:szCs w:val="31"/>
            </w:rPr>
            <w:fldChar w:fldCharType="separate"/>
          </w:r>
          <w:r>
            <w:rPr>
              <w:rFonts w:hint="eastAsia" w:ascii="楷体" w:hAnsi="楷体" w:eastAsia="楷体" w:cs="楷体"/>
              <w:sz w:val="31"/>
              <w:szCs w:val="31"/>
            </w:rPr>
            <w:t>习近平在加强基础研究座谈会上强调 以更大力度更实举措加强基础研究  进一步打牢科技强国建设根基</w:t>
          </w:r>
          <w:r>
            <w:rPr>
              <w:rFonts w:hint="eastAsia" w:ascii="楷体" w:hAnsi="楷体" w:eastAsia="楷体" w:cs="楷体"/>
              <w:sz w:val="31"/>
              <w:szCs w:val="31"/>
            </w:rPr>
            <w:tab/>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PAGEREF _Toc4412 \h </w:instrText>
          </w:r>
          <w:r>
            <w:rPr>
              <w:rFonts w:hint="eastAsia" w:ascii="楷体" w:hAnsi="楷体" w:eastAsia="楷体" w:cs="楷体"/>
              <w:sz w:val="31"/>
              <w:szCs w:val="31"/>
            </w:rPr>
            <w:fldChar w:fldCharType="separate"/>
          </w:r>
          <w:r>
            <w:rPr>
              <w:rFonts w:hint="eastAsia" w:ascii="楷体" w:hAnsi="楷体" w:eastAsia="楷体" w:cs="楷体"/>
              <w:sz w:val="31"/>
              <w:szCs w:val="31"/>
            </w:rPr>
            <w:t>6</w:t>
          </w:r>
          <w:r>
            <w:rPr>
              <w:rFonts w:hint="eastAsia" w:ascii="楷体" w:hAnsi="楷体" w:eastAsia="楷体" w:cs="楷体"/>
              <w:sz w:val="31"/>
              <w:szCs w:val="31"/>
            </w:rPr>
            <w:fldChar w:fldCharType="end"/>
          </w:r>
          <w:r>
            <w:rPr>
              <w:rFonts w:hint="eastAsia" w:ascii="楷体" w:hAnsi="楷体" w:eastAsia="楷体" w:cs="楷体"/>
              <w:sz w:val="31"/>
              <w:szCs w:val="31"/>
            </w:rPr>
            <w:fldChar w:fldCharType="end"/>
          </w:r>
        </w:p>
        <w:p w14:paraId="5043161B">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480" w:lineRule="exact"/>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4.</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_Toc16236 </w:instrText>
          </w:r>
          <w:r>
            <w:rPr>
              <w:rFonts w:hint="eastAsia" w:ascii="楷体" w:hAnsi="楷体" w:eastAsia="楷体" w:cs="楷体"/>
              <w:sz w:val="31"/>
              <w:szCs w:val="31"/>
            </w:rPr>
            <w:fldChar w:fldCharType="separate"/>
          </w:r>
          <w:r>
            <w:rPr>
              <w:rFonts w:hint="eastAsia" w:ascii="楷体" w:hAnsi="楷体" w:eastAsia="楷体" w:cs="楷体"/>
              <w:sz w:val="31"/>
              <w:szCs w:val="31"/>
              <w:lang w:val="en-US" w:eastAsia="zh-CN"/>
            </w:rPr>
            <w:t>习近平对湖南长沙浏阳市一烟花厂爆炸事故作出重要指示</w:t>
          </w:r>
          <w:r>
            <w:rPr>
              <w:rFonts w:hint="eastAsia" w:ascii="楷体" w:hAnsi="楷体" w:eastAsia="楷体" w:cs="楷体"/>
              <w:sz w:val="31"/>
              <w:szCs w:val="31"/>
            </w:rPr>
            <w:tab/>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PAGEREF _Toc16236 \h </w:instrText>
          </w:r>
          <w:r>
            <w:rPr>
              <w:rFonts w:hint="eastAsia" w:ascii="楷体" w:hAnsi="楷体" w:eastAsia="楷体" w:cs="楷体"/>
              <w:sz w:val="31"/>
              <w:szCs w:val="31"/>
            </w:rPr>
            <w:fldChar w:fldCharType="separate"/>
          </w:r>
          <w:r>
            <w:rPr>
              <w:rFonts w:hint="eastAsia" w:ascii="楷体" w:hAnsi="楷体" w:eastAsia="楷体" w:cs="楷体"/>
              <w:sz w:val="31"/>
              <w:szCs w:val="31"/>
            </w:rPr>
            <w:t>9</w:t>
          </w:r>
          <w:r>
            <w:rPr>
              <w:rFonts w:hint="eastAsia" w:ascii="楷体" w:hAnsi="楷体" w:eastAsia="楷体" w:cs="楷体"/>
              <w:sz w:val="31"/>
              <w:szCs w:val="31"/>
            </w:rPr>
            <w:fldChar w:fldCharType="end"/>
          </w:r>
          <w:r>
            <w:rPr>
              <w:rFonts w:hint="eastAsia" w:ascii="楷体" w:hAnsi="楷体" w:eastAsia="楷体" w:cs="楷体"/>
              <w:sz w:val="31"/>
              <w:szCs w:val="31"/>
            </w:rPr>
            <w:fldChar w:fldCharType="end"/>
          </w:r>
        </w:p>
        <w:p w14:paraId="107FDF82">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480" w:lineRule="exact"/>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5.</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_Toc26547 </w:instrText>
          </w:r>
          <w:r>
            <w:rPr>
              <w:rFonts w:hint="eastAsia" w:ascii="楷体" w:hAnsi="楷体" w:eastAsia="楷体" w:cs="楷体"/>
              <w:sz w:val="31"/>
              <w:szCs w:val="31"/>
            </w:rPr>
            <w:fldChar w:fldCharType="separate"/>
          </w:r>
          <w:r>
            <w:rPr>
              <w:rFonts w:hint="eastAsia" w:ascii="楷体" w:hAnsi="楷体" w:eastAsia="楷体" w:cs="楷体"/>
              <w:sz w:val="31"/>
              <w:szCs w:val="31"/>
              <w:lang w:val="en-US" w:eastAsia="zh-CN"/>
            </w:rPr>
            <w:t>在“五一”国际劳动节到来之际习近平向全国广大劳动群众致以节日祝贺和诚挚慰问</w:t>
          </w:r>
          <w:r>
            <w:rPr>
              <w:rFonts w:hint="eastAsia" w:ascii="楷体" w:hAnsi="楷体" w:eastAsia="楷体" w:cs="楷体"/>
              <w:sz w:val="31"/>
              <w:szCs w:val="31"/>
            </w:rPr>
            <w:tab/>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PAGEREF _Toc26547 \h </w:instrText>
          </w:r>
          <w:r>
            <w:rPr>
              <w:rFonts w:hint="eastAsia" w:ascii="楷体" w:hAnsi="楷体" w:eastAsia="楷体" w:cs="楷体"/>
              <w:sz w:val="31"/>
              <w:szCs w:val="31"/>
            </w:rPr>
            <w:fldChar w:fldCharType="separate"/>
          </w:r>
          <w:r>
            <w:rPr>
              <w:rFonts w:hint="eastAsia" w:ascii="楷体" w:hAnsi="楷体" w:eastAsia="楷体" w:cs="楷体"/>
              <w:sz w:val="31"/>
              <w:szCs w:val="31"/>
            </w:rPr>
            <w:t>10</w:t>
          </w:r>
          <w:r>
            <w:rPr>
              <w:rFonts w:hint="eastAsia" w:ascii="楷体" w:hAnsi="楷体" w:eastAsia="楷体" w:cs="楷体"/>
              <w:sz w:val="31"/>
              <w:szCs w:val="31"/>
            </w:rPr>
            <w:fldChar w:fldCharType="end"/>
          </w:r>
          <w:r>
            <w:rPr>
              <w:rFonts w:hint="eastAsia" w:ascii="楷体" w:hAnsi="楷体" w:eastAsia="楷体" w:cs="楷体"/>
              <w:sz w:val="31"/>
              <w:szCs w:val="31"/>
            </w:rPr>
            <w:fldChar w:fldCharType="end"/>
          </w:r>
        </w:p>
        <w:p w14:paraId="41DAD213">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480" w:lineRule="exact"/>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6.</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_Toc32588 </w:instrText>
          </w:r>
          <w:r>
            <w:rPr>
              <w:rFonts w:hint="eastAsia" w:ascii="楷体" w:hAnsi="楷体" w:eastAsia="楷体" w:cs="楷体"/>
              <w:sz w:val="31"/>
              <w:szCs w:val="31"/>
            </w:rPr>
            <w:fldChar w:fldCharType="separate"/>
          </w:r>
          <w:r>
            <w:rPr>
              <w:rFonts w:hint="eastAsia" w:ascii="楷体" w:hAnsi="楷体" w:eastAsia="楷体" w:cs="楷体"/>
              <w:sz w:val="31"/>
              <w:szCs w:val="31"/>
              <w:lang w:val="en-US" w:eastAsia="zh-CN"/>
            </w:rPr>
            <w:t>习近平回信勉励中国青年五四奖章暨新时代青年先锋奖获奖者代表</w:t>
          </w:r>
          <w:r>
            <w:rPr>
              <w:rFonts w:hint="eastAsia" w:ascii="楷体" w:hAnsi="楷体" w:eastAsia="楷体" w:cs="楷体"/>
              <w:sz w:val="31"/>
              <w:szCs w:val="31"/>
            </w:rPr>
            <w:tab/>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PAGEREF _Toc32588 \h </w:instrText>
          </w:r>
          <w:r>
            <w:rPr>
              <w:rFonts w:hint="eastAsia" w:ascii="楷体" w:hAnsi="楷体" w:eastAsia="楷体" w:cs="楷体"/>
              <w:sz w:val="31"/>
              <w:szCs w:val="31"/>
            </w:rPr>
            <w:fldChar w:fldCharType="separate"/>
          </w:r>
          <w:r>
            <w:rPr>
              <w:rFonts w:hint="eastAsia" w:ascii="楷体" w:hAnsi="楷体" w:eastAsia="楷体" w:cs="楷体"/>
              <w:sz w:val="31"/>
              <w:szCs w:val="31"/>
            </w:rPr>
            <w:t>11</w:t>
          </w:r>
          <w:r>
            <w:rPr>
              <w:rFonts w:hint="eastAsia" w:ascii="楷体" w:hAnsi="楷体" w:eastAsia="楷体" w:cs="楷体"/>
              <w:sz w:val="31"/>
              <w:szCs w:val="31"/>
            </w:rPr>
            <w:fldChar w:fldCharType="end"/>
          </w:r>
          <w:r>
            <w:rPr>
              <w:rFonts w:hint="eastAsia" w:ascii="楷体" w:hAnsi="楷体" w:eastAsia="楷体" w:cs="楷体"/>
              <w:sz w:val="31"/>
              <w:szCs w:val="31"/>
            </w:rPr>
            <w:fldChar w:fldCharType="end"/>
          </w:r>
        </w:p>
        <w:p w14:paraId="7BE8058B">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480" w:lineRule="exact"/>
            <w:textAlignment w:val="baseline"/>
            <w:rPr>
              <w:rFonts w:hint="default" w:ascii="楷体" w:hAnsi="楷体" w:eastAsia="楷体" w:cs="楷体"/>
              <w:sz w:val="31"/>
              <w:szCs w:val="31"/>
              <w:lang w:val="en-US" w:eastAsia="zh-CN"/>
            </w:rPr>
          </w:pPr>
          <w:r>
            <w:rPr>
              <w:rFonts w:hint="eastAsia" w:ascii="楷体" w:hAnsi="楷体" w:eastAsia="楷体" w:cs="楷体"/>
              <w:sz w:val="31"/>
              <w:szCs w:val="31"/>
              <w:lang w:val="en-US" w:eastAsia="zh-CN"/>
            </w:rPr>
            <w:t>7.《习近平关于树立和践行正确政绩观论述摘编》第四章</w:t>
          </w:r>
          <w:r>
            <w:rPr>
              <w:rFonts w:hint="eastAsia" w:ascii="楷体" w:hAnsi="楷体" w:eastAsia="楷体" w:cs="楷体"/>
              <w:sz w:val="31"/>
              <w:szCs w:val="31"/>
              <w:lang w:val="en-US" w:eastAsia="zh-CN"/>
            </w:rPr>
            <w:br w:type="textWrapping"/>
          </w:r>
          <w:r>
            <w:rPr>
              <w:rFonts w:hint="eastAsia" w:ascii="楷体" w:hAnsi="楷体" w:eastAsia="楷体" w:cs="楷体"/>
              <w:sz w:val="31"/>
              <w:szCs w:val="31"/>
              <w:lang w:val="en-US" w:eastAsia="zh-CN"/>
            </w:rPr>
            <w:t>8.《网络意识形态工作责任制实施细则》文</w:t>
          </w:r>
          <w:bookmarkStart w:id="25" w:name="_GoBack"/>
          <w:bookmarkEnd w:id="25"/>
          <w:r>
            <w:rPr>
              <w:rFonts w:hint="eastAsia" w:ascii="楷体" w:hAnsi="楷体" w:eastAsia="楷体" w:cs="楷体"/>
              <w:sz w:val="31"/>
              <w:szCs w:val="31"/>
              <w:lang w:val="en-US" w:eastAsia="zh-CN"/>
            </w:rPr>
            <w:t>件</w:t>
          </w:r>
        </w:p>
        <w:p w14:paraId="342B3DF3">
          <w:pPr>
            <w:rPr>
              <w:rFonts w:hint="default" w:eastAsia="楷体"/>
              <w:lang w:val="en-US" w:eastAsia="zh-CN"/>
            </w:rPr>
          </w:pPr>
        </w:p>
        <w:p w14:paraId="0F5CAA8E">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rPr>
              <w:rFonts w:hint="default" w:ascii="楷体" w:hAnsi="楷体" w:eastAsia="楷体" w:cs="楷体"/>
              <w:sz w:val="31"/>
              <w:szCs w:val="31"/>
              <w:lang w:val="en-US" w:eastAsia="zh-CN"/>
            </w:rPr>
          </w:pPr>
        </w:p>
        <w:p w14:paraId="1BDCF272">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480" w:lineRule="exact"/>
            <w:textAlignment w:val="baseline"/>
            <w:rPr>
              <w:rFonts w:hint="eastAsia" w:ascii="楷体" w:hAnsi="楷体" w:eastAsia="楷体" w:cs="楷体"/>
              <w:snapToGrid w:val="0"/>
              <w:color w:val="000000"/>
              <w:kern w:val="0"/>
              <w:sz w:val="31"/>
              <w:szCs w:val="31"/>
              <w:lang w:val="en-US" w:eastAsia="en-US" w:bidi="ar-SA"/>
            </w:rPr>
          </w:pPr>
          <w:r>
            <w:rPr>
              <w:rFonts w:hint="eastAsia" w:ascii="楷体" w:hAnsi="楷体" w:eastAsia="楷体" w:cs="楷体"/>
              <w:szCs w:val="31"/>
            </w:rPr>
            <w:fldChar w:fldCharType="end"/>
          </w:r>
        </w:p>
      </w:sdtContent>
    </w:sdt>
    <w:p w14:paraId="4F3DCEE5">
      <w:pPr>
        <w:spacing w:line="210" w:lineRule="auto"/>
        <w:rPr>
          <w:rFonts w:ascii="华文楷体" w:hAnsi="华文楷体" w:eastAsia="华文楷体" w:cs="华文楷体"/>
          <w:snapToGrid w:val="0"/>
          <w:color w:val="000000"/>
          <w:kern w:val="0"/>
          <w:sz w:val="21"/>
          <w:szCs w:val="31"/>
          <w:lang w:val="en-US" w:eastAsia="en-US" w:bidi="ar-SA"/>
        </w:rPr>
        <w:sectPr>
          <w:type w:val="continuous"/>
          <w:pgSz w:w="11907" w:h="16839"/>
          <w:pgMar w:top="1431" w:right="570" w:bottom="0" w:left="1432" w:header="0" w:footer="0" w:gutter="0"/>
          <w:pgNumType w:fmt="decimal"/>
          <w:cols w:equalWidth="0" w:num="2">
            <w:col w:w="2909" w:space="100"/>
            <w:col w:w="6895"/>
          </w:cols>
        </w:sectPr>
      </w:pPr>
      <w:r>
        <w:rPr>
          <w:rFonts w:hint="eastAsia" w:ascii="楷体" w:hAnsi="楷体" w:eastAsia="楷体" w:cs="楷体"/>
          <w:sz w:val="31"/>
          <w:szCs w:val="31"/>
        </w:rPr>
        <w:tab/>
      </w:r>
    </w:p>
    <w:p w14:paraId="0B6339CB">
      <w:pPr>
        <w:pStyle w:val="2"/>
        <w:bidi w:val="0"/>
      </w:pPr>
      <w:bookmarkStart w:id="0" w:name="bookmark17"/>
      <w:bookmarkEnd w:id="0"/>
      <w:bookmarkStart w:id="1" w:name="bookmark19"/>
      <w:bookmarkEnd w:id="1"/>
      <w:bookmarkStart w:id="2" w:name="bookmark5"/>
      <w:bookmarkEnd w:id="2"/>
      <w:bookmarkStart w:id="3" w:name="_Toc23187"/>
      <w:r>
        <w:t>中共中央政治局召开会议</w:t>
      </w:r>
      <w:bookmarkEnd w:id="3"/>
    </w:p>
    <w:p w14:paraId="347E34E2">
      <w:pPr>
        <w:pStyle w:val="2"/>
        <w:bidi w:val="0"/>
      </w:pPr>
      <w:bookmarkStart w:id="4" w:name="_Toc29534"/>
      <w:r>
        <w:t>分析研究当前经济形势和经济工作</w:t>
      </w:r>
      <w:bookmarkEnd w:id="4"/>
      <w:r>
        <w:t xml:space="preserve"> </w:t>
      </w:r>
    </w:p>
    <w:p w14:paraId="631CE65E">
      <w:pPr>
        <w:pStyle w:val="2"/>
        <w:bidi w:val="0"/>
      </w:pPr>
      <w:bookmarkStart w:id="5" w:name="_Toc12983"/>
      <w:r>
        <w:t>中共中央总书记习近平主持会议</w:t>
      </w:r>
      <w:bookmarkEnd w:id="5"/>
    </w:p>
    <w:p w14:paraId="73D8005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新华社北京4月28日电  中共中央政治局4月28日召开会议，分析研究当前经济形势和经济工作。中共中央总书记习近平主持会议。</w:t>
      </w:r>
    </w:p>
    <w:p w14:paraId="48F2D79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会议认为，今年以来，以习近平同志为核心的党中央加强对经济工作的全面领导，着眼全局、前瞻布局，各地区各部门靠前发力、综合施策，我国经济起步有力，主要指标好于预期，彰显强大韧性和活力。同时，也面临一些困难和挑战，经济持续稳中向好的基础还需进一步巩固。要增强信心，以更大力度和更实举措抓好经济工作。</w:t>
      </w:r>
    </w:p>
    <w:p w14:paraId="3C9C052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会议指出，要坚持稳中求进工作总基调，完整准确全面贯彻新发展理念，加快构建新发展格局，更好统筹国内国际两个大局，统筹发展和安全，坚定不移深化改革开放，推动科技自立自强、产业链自主可控，精准有效实施更加积极的财政政策和适度宽松的货币政策，持续扩大内需、优化供给，做优增量、盘活存量，着力稳就业、稳企业、稳市场、稳预期，增强经济发展内生动力，进一步做强国内大循环，做优国内国际双循环，努力实现“十五五”良好开局。</w:t>
      </w:r>
    </w:p>
    <w:p w14:paraId="449B819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会议强调，要用好用足宏观政策。持续优化财政支出结构，兜牢基层“三保”底线。增强货币政策前瞻性灵活性针对性，保持流动性充裕。保持人民币汇率在合理均衡水平上的基本稳定。做好宏观政策取向一致性评估。</w:t>
      </w:r>
    </w:p>
    <w:p w14:paraId="7AEBACF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会议指出，要深入挖掘内需潜力。扩大优质商品和服务供给，推动消费升级。深入实施服务业扩能提质行动。加强水网、新型电网、算力网、新一代通信网、城市地下管网、物流网等规划建设。推动条件成熟的重大工程项目开工。</w:t>
      </w:r>
    </w:p>
    <w:p w14:paraId="431EA25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会议强调，要加快建设现代化产业体系，保持制造业合理比重。纵深推进全国统一大市场建设，深入整治“内卷式”竞争。全面实施“人工智能+”行动，发展智能经济新形态，完善人工智能治理。进一步深化国资国企改革。系统应对外部冲击挑战，提高能源资源安全保障水平，以高质量发展的确定性应对各种不确定性。</w:t>
      </w:r>
    </w:p>
    <w:p w14:paraId="595BD23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会议指出，要有效防范化解重点领域风险。努力稳定房地产市场，扎实推进城市更新。有序化解地方政府债务风险，着力解决拖欠企业账款问题。推动中小金融机构改革，稳定和增强资本市场信心。</w:t>
      </w:r>
    </w:p>
    <w:p w14:paraId="44A531D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会议强调，要强化就业优先政策导向，加强教育、医疗、托育等民生建设。抓好农业生产，稳定生猪等农产品价格。完善常态化帮扶机制，确保不发生规模性返贫致贫。做好安全生产、防灾减灾、食品药品安全等工作。要深入开展树立和践行正确政绩观学习教育，把学习教育的成效转化为推动高质量发展的实效。</w:t>
      </w:r>
    </w:p>
    <w:p w14:paraId="7A6A870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会议还研究了其他事项。</w:t>
      </w:r>
    </w:p>
    <w:p w14:paraId="0070F49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F7C0C4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F5733D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7E7025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F731D4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707EA4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39DE96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6F6EF7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D48690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0769DE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6205B8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AB1830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883B8D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11A3B6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99FE84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FACB94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B9C88E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C37A99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4A498C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0DF98F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A31EB01">
      <w:pPr>
        <w:pStyle w:val="2"/>
        <w:bidi w:val="0"/>
        <w:rPr>
          <w:rFonts w:hint="eastAsia" w:ascii="仿宋" w:hAnsi="仿宋" w:eastAsia="仿宋" w:cs="仿宋"/>
          <w:b w:val="0"/>
          <w:bCs w:val="0"/>
          <w:color w:val="262626"/>
          <w:spacing w:val="17"/>
          <w:sz w:val="31"/>
          <w:szCs w:val="31"/>
          <w:lang w:val="en-US" w:eastAsia="zh-CN"/>
        </w:rPr>
      </w:pPr>
      <w:bookmarkStart w:id="6" w:name="bookmark9"/>
      <w:bookmarkEnd w:id="6"/>
      <w:bookmarkStart w:id="7" w:name="bookmark2"/>
      <w:bookmarkEnd w:id="7"/>
      <w:bookmarkStart w:id="8" w:name="_Toc9581"/>
      <w:r>
        <w:t xml:space="preserve">习近平主持二十届中共中央政治局第二十五次 </w:t>
      </w:r>
      <w:bookmarkStart w:id="9" w:name="bookmark2"/>
      <w:bookmarkEnd w:id="9"/>
      <w:r>
        <w:t>集体学习</w:t>
      </w:r>
      <w:bookmarkEnd w:id="8"/>
    </w:p>
    <w:p w14:paraId="65C030C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新华社北京4月29日电  中共中央政治局4月28日下午就提高防灾减灾救灾能力进行第二十五次集体学习。中共中央总书记习近平在主持学习时强调，要站在统筹高质量发展和高水平安全的战略高度，充分认识做好防灾减灾救灾工作的重要性，着力提高防范应对自然灾害能力，切实维护人民群众生命财产安全。</w:t>
      </w:r>
    </w:p>
    <w:p w14:paraId="1CBC357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应急管理部国家自然灾害防治研究院杨思全同志就这个问题进行讲解，提出工作建议。中央政治局的同志认真听取讲解，并进行了讨论。</w:t>
      </w:r>
    </w:p>
    <w:p w14:paraId="27330FD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在听取讲解和讨论后发表重要讲话。他指出，我国国土广袤、地理复杂、气候多样，自然灾害易发多发。党的十八大以来，党中央坚持把防灾减灾救灾工作作为关系人民安危和国家安全的大事来抓，在理念转变、体制改革、体系建设、能力提升等方面作出许多部署，带领广大干部群众战胜一系列重特大自然灾害，成效举世公认。实践中深刻认识到，做好防灾减灾救灾工作必须坚持党的全面领导，坚持人民至上、生命至上，坚持尊重自然规律，坚持预防为主，坚持改革创新，坚持系统观念，坚持社会共治。</w:t>
      </w:r>
    </w:p>
    <w:p w14:paraId="3865639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习近平强调，降低灾害风险，减轻灾害损失，重在事前预防。要坚持源头管控，将安全韧性要求贯穿国土空间规划及各类建设规划之中。加强隐患排查，系统梳理、精准识别各类灾害风险。</w:t>
      </w:r>
    </w:p>
    <w:p w14:paraId="3E68DC8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强化工程治理，合理提高重要城市和灾害多发地区关键基础设施设防标准，加紧补齐相关短板。</w:t>
      </w:r>
    </w:p>
    <w:p w14:paraId="6D3D470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指出，要树牢底线思维、极限思维，不断提升大灾巨灾应对处置能力。深入研判大灾巨灾风险，强化监测预警，完善应急预案。健全大安全大应急框架下应急指挥机制，推进国家综合性消防救援队伍和国家区域应急救援中心建设。统筹做好综合救援、过渡安置和恢复重建工作。</w:t>
      </w:r>
    </w:p>
    <w:p w14:paraId="55DF210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强调，要强化应对自然灾害的科技支撑和法治保障。推动应急领域科技创新和产业创新，加强应急学科建设和人才培养，深入开展自然灾害基础研究，深化国际交流合作。健全应急领域法治体系，进一步提升防灾减灾救灾法治化水平。</w:t>
      </w:r>
    </w:p>
    <w:p w14:paraId="74752BE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指出，基层是抵御自然灾害的第一线，抓基层、强基础的工作始终不能放松。要完善基层应急救援力量体系，强化应急场所建设和物资装备保障，抓好群测群防群治。加大科普宣传力度，增强全民防灾避险意识和能力。</w:t>
      </w:r>
    </w:p>
    <w:p w14:paraId="3F4019E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强调，要认真抓好防灾减灾救灾责任落实。各地区各有关部门要守土尽责，坚持统分结合、防救衔接、上下联动，推动形成齐抓共管、协同配合的工作格局。树立和践行正确政绩观，坚决纠正重发展轻安全、重救灾轻预防等倾向。加强教育培训，提高各级干部的防灾减灾救灾能力。</w:t>
      </w:r>
    </w:p>
    <w:p w14:paraId="10FA9F9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A017EB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49D3388">
      <w:pPr>
        <w:pStyle w:val="2"/>
        <w:bidi w:val="0"/>
      </w:pPr>
      <w:bookmarkStart w:id="10" w:name="_Toc4412"/>
      <w:r>
        <w:t xml:space="preserve">习近平在加强基础研究座谈会上强调 </w:t>
      </w:r>
      <w:bookmarkStart w:id="11" w:name="bookmark3"/>
      <w:bookmarkEnd w:id="11"/>
      <w:r>
        <w:t xml:space="preserve">以更大力度更实举措加强基础研究  </w:t>
      </w:r>
      <w:bookmarkStart w:id="12" w:name="bookmark3"/>
      <w:bookmarkEnd w:id="12"/>
      <w:r>
        <w:t>进一步打牢科技强国建设根基</w:t>
      </w:r>
      <w:bookmarkEnd w:id="10"/>
    </w:p>
    <w:p w14:paraId="2697971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新华社上海4月30日电  中共中央总书记、国家主席、中央军委主席习近平30日上午在上海出席加强基础研究座谈会并发表重要讲话。他强调，基础研究是整个科学体系的源头，是所有技术问题的总机关。要以更大力度、更实举措加强基础研究，提升我国原始创新能力，进一步打牢科技强国建设根基。</w:t>
      </w:r>
    </w:p>
    <w:p w14:paraId="7E9CCEE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中共中央政治局常委、中央办公厅主任蔡奇出席座谈会，中共中央政治局常委、国务院副总理丁薛祥主持座谈会。</w:t>
      </w:r>
    </w:p>
    <w:p w14:paraId="2FD61DD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座谈会上，科技部部长阴和俊、教育部部长怀进鹏、中国科学院院长侯建国、上海市委书记陈吉宁、北京大学数学科学学院院长刘若川、中国科学院深圳先进技术研究院院长刘陈立、浦江实验室教授乔宇、西部超导材料科技股份有限公司首席科学家张平祥先后发言，就加强基础研究介绍工作情况、提出意见建议。</w:t>
      </w:r>
    </w:p>
    <w:p w14:paraId="39EBEDC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在听取大家发言后，习近平发表重要讲话。他指出，党的十八大以来，党中央高度重视基础研究，通过优化科研布局、加大投入保障、创新体制机制等，推动我国基础研究水平显著提升。当前，新一轮科技革命和产业变革加速突破，全球科技竞争更加聚焦基础前沿领域，原创性颠覆性创新的重要性日益凸显。我们要抓住机遇、应对挑战，切实把基础研究工作摆上重要日程，持续抓下去，不断抓出新成效。</w:t>
      </w:r>
    </w:p>
    <w:p w14:paraId="7013137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sectPr>
          <w:footerReference r:id="rId5" w:type="default"/>
          <w:pgSz w:w="11900" w:h="16840"/>
          <w:pgMar w:top="1431" w:right="1395" w:bottom="1392" w:left="1499" w:header="0" w:footer="1259" w:gutter="0"/>
          <w:pgNumType w:fmt="decimal" w:start="1"/>
          <w:cols w:space="720" w:num="1"/>
        </w:sectPr>
      </w:pPr>
    </w:p>
    <w:p w14:paraId="2F5B95B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bookmarkStart w:id="13" w:name="bookmark10"/>
      <w:bookmarkEnd w:id="13"/>
      <w:r>
        <w:rPr>
          <w:rFonts w:hint="eastAsia" w:ascii="仿宋" w:hAnsi="仿宋" w:eastAsia="仿宋" w:cs="仿宋"/>
          <w:b w:val="0"/>
          <w:bCs w:val="0"/>
          <w:color w:val="262626"/>
          <w:spacing w:val="17"/>
          <w:sz w:val="31"/>
          <w:szCs w:val="31"/>
          <w:lang w:val="en-US" w:eastAsia="zh-CN"/>
        </w:rPr>
        <w:t>习近平强调，要加强统筹谋划和顶层设计，优化基础研究系统布局。坚持“四个面向”战略导向，进一步明确基础研究的主攻方向和重点领域。强化国家科研机构、高水平研究型大学等引领作用，鼓励和规范发展新型研发机构，推动企业主导的产学研用深度融合，打通基础研究、应用开发、成果转化的创新链条。加强基础学科建设，促进应用学科与基础学科协调发展。</w:t>
      </w:r>
    </w:p>
    <w:p w14:paraId="70B5540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指出，要一体推进教育科技人才发展，全方位做好培养、引进、使用工作，壮大基础研究人才队伍。遵循人才成长规律，提高教育质量，源源不断培养基础研究后备力量。优化科教协同育人机制，注重在科研一线发现和培养人才。坚持任务牵引、以老带新，大力扶持青年人才。弘扬科学家精神，加强科普宣传，激发青少年的想象力和探求欲，让投身基础研究成为更多青少年的人生追求。</w:t>
      </w:r>
    </w:p>
    <w:p w14:paraId="2BC28F8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强调，要加强对基础研究的支持保障。逐步提高基础研究经费占比，形成多元化投入格局。体系化布局建设重大科技基础设施，建设智能化科研平台系统。健全符合基础研究特点的分类评价体系，改善基础研究人员的工作和生活条件，营造开放包容、宽容失败的创新环境。加强科研诚信建设。</w:t>
      </w:r>
    </w:p>
    <w:p w14:paraId="3C1BA2B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习近平指出，要主动融入全球创新网络，深化基础研究国际交流合作，联合开展气候变化、能源环境、生命健康等重大科学问题攻关，积极参与全球科技治理。</w:t>
      </w:r>
    </w:p>
    <w:p w14:paraId="3B29AA8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丁薛祥主持会议时表示，习近平总书记重要讲话充分肯定我国基础研究取得的成就，全面分析面临的新形势新挑战，对加强</w:t>
      </w:r>
      <w:bookmarkStart w:id="14" w:name="bookmark11"/>
      <w:bookmarkEnd w:id="14"/>
      <w:r>
        <w:rPr>
          <w:rFonts w:hint="eastAsia" w:ascii="仿宋" w:hAnsi="仿宋" w:eastAsia="仿宋" w:cs="仿宋"/>
          <w:b w:val="0"/>
          <w:bCs w:val="0"/>
          <w:color w:val="262626"/>
          <w:spacing w:val="17"/>
          <w:sz w:val="31"/>
          <w:szCs w:val="31"/>
          <w:lang w:val="en-US" w:eastAsia="zh-CN"/>
        </w:rPr>
        <w:t>基础研究作出战略部署、提出明确要求。讲话高屋建瓴、内涵丰富，具有很强的政治性、思想性、指导性，为加强基础研究指明了前进方向、提供了根本遵循。我们要深学细悟总书记重要讲话精神，准确把握党中央战略意图，增强责任感、使命感、紧迫感，以更加坚定的信心和决心、更加务实的举措和行动，全面加强基础研究，着力提升原始创新能力，为实现高水平科技自立自强、建设科技强国努力奋斗。</w:t>
      </w:r>
    </w:p>
    <w:p w14:paraId="7614CE6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尹力、石泰峰、刘国中、张国清、黄坤明出席座谈会。</w:t>
      </w:r>
    </w:p>
    <w:p w14:paraId="5F2069C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中央和国家机关有关部门、军队有关单位、部分省市主要负责同志，有关高校、科研机构、国家实验室、企业负责人和科研人员代表等参加座谈会。</w:t>
      </w:r>
    </w:p>
    <w:p w14:paraId="7247128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sectPr>
          <w:footerReference r:id="rId6" w:type="default"/>
          <w:pgSz w:w="11900" w:h="16840"/>
          <w:pgMar w:top="1431" w:right="1414" w:bottom="1413" w:left="1499" w:header="0" w:footer="1253" w:gutter="0"/>
          <w:pgNumType w:fmt="decimal"/>
          <w:cols w:space="720" w:num="1"/>
        </w:sectPr>
      </w:pPr>
    </w:p>
    <w:p w14:paraId="06CCB19B">
      <w:pPr>
        <w:pStyle w:val="2"/>
        <w:bidi w:val="0"/>
        <w:rPr>
          <w:rFonts w:hint="eastAsia"/>
          <w:lang w:val="en-US" w:eastAsia="zh-CN"/>
        </w:rPr>
      </w:pPr>
      <w:bookmarkStart w:id="15" w:name="bookmark4"/>
      <w:bookmarkEnd w:id="15"/>
      <w:bookmarkStart w:id="16" w:name="bookmark12"/>
      <w:bookmarkEnd w:id="16"/>
      <w:bookmarkStart w:id="17" w:name="_Toc16236"/>
      <w:r>
        <w:rPr>
          <w:rFonts w:hint="eastAsia"/>
          <w:lang w:val="en-US" w:eastAsia="zh-CN"/>
        </w:rPr>
        <w:t>习近平对湖南长沙浏阳市一烟花厂爆炸事故</w:t>
      </w:r>
      <w:bookmarkStart w:id="18" w:name="bookmark4"/>
      <w:bookmarkEnd w:id="18"/>
      <w:r>
        <w:rPr>
          <w:rFonts w:hint="eastAsia"/>
          <w:lang w:val="en-US" w:eastAsia="zh-CN"/>
        </w:rPr>
        <w:t>作出重要指示</w:t>
      </w:r>
      <w:bookmarkEnd w:id="17"/>
    </w:p>
    <w:p w14:paraId="595D692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新华社北京5月4日电  5月4日16时40分许，湖南长沙浏阳市华盛烟花制造燃放有限公司车间发生爆炸，造成重大人员伤亡。</w:t>
      </w:r>
    </w:p>
    <w:p w14:paraId="3D77835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事故发生后，中共中央总书记、国家主席、中央军委主席习近平高度重视并作出重要指示指出，湖南长沙浏阳市一烟花厂发生爆炸，造成重大人员伤亡。要抓紧搜寻失联人员，全力救治伤员，妥善做好善后等工作。要尽快查明事故原因，严肃追责。</w:t>
      </w:r>
    </w:p>
    <w:p w14:paraId="765F49A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习近平强调，各地区和有关部门要深刻汲取教训，盯紧压实安全生产责任，抓好重点行业领域风险隐患排查整治，加强公共安全管理，确保人民群众生命财产安全。</w:t>
      </w:r>
    </w:p>
    <w:p w14:paraId="3DA4D34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中共中央政治局常委、国务院总理李强作出批示指出，要抓紧核清人数，全力救治伤员，科学组织搜救，严防次生灾害，妥善做好善后工作。同时，尽快查明事故原因，依法依规严肃处理。当前正值劳动节假期，国务院安委办要督促各地引以为戒，进一步加强重点行业领域安全生产工作，严防重特大事故发生。</w:t>
      </w:r>
    </w:p>
    <w:p w14:paraId="57A3005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根据习近平重要指示和李强要求，应急管理部已派出工作组赶赴现场指导。湖南省已组织力量全力做好伤员救治和现场处置等工作。目前，各项工作正在进行中。</w:t>
      </w:r>
    </w:p>
    <w:p w14:paraId="7DEF18A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sectPr>
          <w:footerReference r:id="rId7" w:type="default"/>
          <w:pgSz w:w="11900" w:h="16840"/>
          <w:pgMar w:top="1431" w:right="1499" w:bottom="1468" w:left="1499" w:header="0" w:footer="1236" w:gutter="0"/>
          <w:pgNumType w:fmt="decimal"/>
          <w:cols w:space="720" w:num="1"/>
        </w:sectPr>
      </w:pPr>
    </w:p>
    <w:p w14:paraId="7850E202">
      <w:pPr>
        <w:pStyle w:val="2"/>
        <w:bidi w:val="0"/>
        <w:rPr>
          <w:rFonts w:hint="eastAsia"/>
          <w:lang w:val="en-US" w:eastAsia="zh-CN"/>
        </w:rPr>
      </w:pPr>
      <w:bookmarkStart w:id="19" w:name="bookmark13"/>
      <w:bookmarkEnd w:id="19"/>
      <w:bookmarkStart w:id="20" w:name="_Toc26547"/>
      <w:r>
        <w:rPr>
          <w:rFonts w:hint="eastAsia"/>
          <w:lang w:val="en-US" w:eastAsia="zh-CN"/>
        </w:rPr>
        <w:t>在“五一”国际劳动节到来之际习近平向全国广大劳动群众致以节日祝贺和诚挚慰问</w:t>
      </w:r>
      <w:bookmarkEnd w:id="20"/>
    </w:p>
    <w:p w14:paraId="117004F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新华社北京4月30日电  在“五一”国际劳动节到来之际，中共中央总书记、国家主席、中央军委主席习近平代表党中央，向全国广大劳动群众致以节日祝贺和诚挚慰问。</w:t>
      </w:r>
    </w:p>
    <w:p w14:paraId="314F29E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习近平指出，在中国式现代化新征程上，广大劳动群众紧紧团结在党的周围，奋力拼搏进取，勇于创新创造，为党和国家事业发展作出了重要贡献。</w:t>
      </w:r>
    </w:p>
    <w:p w14:paraId="5CB2E55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强调，今年是中国共产党成立105周年，是“十五五”开局之年。希望广大劳动群众大力弘扬劳模精神、劳动精神、工匠精神，苦干实干、敬业奉献，在推动经济社会高质量发展中发挥主力军作用、展现主人翁风采。各级党委和政府要切实维护广大劳动群众合法权益，着力解决急难愁盼问题，动员激励广大劳动群众为实现宏伟蓝图而不懈奋斗。</w:t>
      </w:r>
    </w:p>
    <w:p w14:paraId="2B6F5F4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sectPr>
          <w:footerReference r:id="rId8" w:type="default"/>
          <w:pgSz w:w="11900" w:h="16840"/>
          <w:pgMar w:top="1431" w:right="1377" w:bottom="1394" w:left="1499" w:header="0" w:footer="1259" w:gutter="0"/>
          <w:pgNumType w:fmt="decimal"/>
          <w:cols w:space="720" w:num="1"/>
        </w:sectPr>
      </w:pPr>
    </w:p>
    <w:p w14:paraId="63BFB16E">
      <w:pPr>
        <w:pStyle w:val="2"/>
        <w:bidi w:val="0"/>
        <w:rPr>
          <w:rFonts w:hint="eastAsia"/>
          <w:lang w:val="en-US" w:eastAsia="zh-CN"/>
        </w:rPr>
      </w:pPr>
      <w:bookmarkStart w:id="21" w:name="bookmark6"/>
      <w:bookmarkEnd w:id="21"/>
      <w:bookmarkStart w:id="22" w:name="_Toc32588"/>
      <w:r>
        <w:rPr>
          <w:rFonts w:hint="eastAsia"/>
          <w:lang w:val="en-US" w:eastAsia="zh-CN"/>
        </w:rPr>
        <w:t>习近平回信勉励中国青年五四奖章暨</w:t>
      </w:r>
      <w:bookmarkStart w:id="23" w:name="bookmark6"/>
      <w:bookmarkEnd w:id="23"/>
      <w:r>
        <w:rPr>
          <w:rFonts w:hint="eastAsia"/>
          <w:lang w:val="en-US" w:eastAsia="zh-CN"/>
        </w:rPr>
        <w:t>新时代青年先锋奖获奖者代表</w:t>
      </w:r>
      <w:bookmarkEnd w:id="22"/>
    </w:p>
    <w:p w14:paraId="4A7565D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新华社北京5月3日电  在五四青年节到来之际，中共中央总书记、国家主席、中央军委主席习近平给中国青年五四奖章暨新时代青年先锋奖获奖者代表回信，向全国各族青年致以节日祝贺并提出殷切期望。</w:t>
      </w:r>
    </w:p>
    <w:p w14:paraId="0F999FF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习近平在回信中说，你们牢记党的嘱托，扎根科技创新、乡村振兴、社会服务、卫国戍边等基层一线，以实干担当书写无悔青春，展现了新时代中国青年自信自强、昂扬向上的良好风貌。</w:t>
      </w:r>
    </w:p>
    <w:p w14:paraId="15355E4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习近平强调，今年是“十五五”开局之年，青年建功正当其时。希望你们胸怀远大理想，矢志拼搏奋斗，带动广大青年把个人追求融入国家发展大局，立足各自岗位不断创造新业绩，在新征程上贡献青春力量。</w:t>
      </w:r>
    </w:p>
    <w:p w14:paraId="482920C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spacing w:val="15"/>
          <w:sz w:val="30"/>
          <w:szCs w:val="30"/>
          <w:lang w:val="en-US" w:eastAsia="zh-CN"/>
        </w:rPr>
      </w:pPr>
      <w:r>
        <w:rPr>
          <w:rFonts w:hint="eastAsia" w:ascii="仿宋" w:hAnsi="仿宋" w:eastAsia="仿宋" w:cs="仿宋"/>
          <w:b w:val="0"/>
          <w:bCs w:val="0"/>
          <w:color w:val="262626"/>
          <w:spacing w:val="17"/>
          <w:sz w:val="31"/>
          <w:szCs w:val="31"/>
          <w:lang w:val="en-US" w:eastAsia="zh-CN"/>
        </w:rPr>
        <w:t>中国青年五四奖章暨新时代青年先锋奖，旨在树立和表彰政治进步、品德高尚、贡献突出的优秀青年典型。近日，党的十八大以来获奖的16名青年代表给习近平总书记写信，汇报在基层扎根奉献的情况和体会，表达建功“十五五”、走好新时代长征路的决心。</w:t>
      </w:r>
    </w:p>
    <w:sectPr>
      <w:footerReference r:id="rId9" w:type="default"/>
      <w:pgSz w:w="11907" w:h="16839"/>
      <w:pgMar w:top="1431" w:right="1482" w:bottom="1402" w:left="1521" w:header="0" w:footer="1201"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98178">
    <w:pPr>
      <w:spacing w:line="171" w:lineRule="auto"/>
      <w:rPr>
        <w:rFonts w:ascii="Times New Roman" w:hAnsi="Times New Roman" w:eastAsia="Times New Roman" w:cs="Times New Roman"/>
        <w:sz w:val="15"/>
        <w:szCs w:val="15"/>
      </w:rPr>
    </w:pPr>
    <w:r>
      <w:rPr>
        <w:sz w:val="15"/>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2FBA50">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2FBA50">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A7591">
    <w:pPr>
      <w:spacing w:line="173" w:lineRule="auto"/>
      <w:ind w:left="439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812A05">
                          <w:pPr>
                            <w:pStyle w:val="4"/>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9812A05">
                    <w:pPr>
                      <w:pStyle w:val="4"/>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DAD06">
    <w:pPr>
      <w:pStyle w:val="3"/>
      <w:spacing w:line="221" w:lineRule="exact"/>
      <w:ind w:left="4380"/>
      <w:rPr>
        <w:sz w:val="17"/>
        <w:szCs w:val="17"/>
      </w:rPr>
    </w:pPr>
    <w:r>
      <w:rPr>
        <w:sz w:val="17"/>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139FB6">
                          <w:pPr>
                            <w:pStyle w:val="4"/>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E139FB6">
                    <w:pPr>
                      <w:pStyle w:val="4"/>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7A004">
    <w:pPr>
      <w:spacing w:line="174" w:lineRule="auto"/>
      <w:ind w:left="4390"/>
      <w:rPr>
        <w:rFonts w:ascii="Times New Roman" w:hAnsi="Times New Roman" w:eastAsia="Times New Roman" w:cs="Times New Roman"/>
        <w:sz w:val="15"/>
        <w:szCs w:val="15"/>
      </w:rPr>
    </w:pPr>
    <w:r>
      <w:rPr>
        <w:sz w:val="15"/>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FDD4F6">
                          <w:pPr>
                            <w:pStyle w:val="4"/>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0FDD4F6">
                    <w:pPr>
                      <w:pStyle w:val="4"/>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49429">
    <w:pPr>
      <w:spacing w:line="220" w:lineRule="auto"/>
      <w:ind w:left="436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A35FD5">
                          <w:pPr>
                            <w:pStyle w:val="4"/>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1DA35FD5">
                    <w:pPr>
                      <w:pStyle w:val="4"/>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09405A9"/>
    <w:rsid w:val="047223C8"/>
    <w:rsid w:val="07346FB6"/>
    <w:rsid w:val="10243681"/>
    <w:rsid w:val="125712C6"/>
    <w:rsid w:val="12CB20B3"/>
    <w:rsid w:val="13BF09EE"/>
    <w:rsid w:val="155F79D7"/>
    <w:rsid w:val="181F53A8"/>
    <w:rsid w:val="18E1341B"/>
    <w:rsid w:val="19D660BC"/>
    <w:rsid w:val="1E9B6843"/>
    <w:rsid w:val="1F4C7E66"/>
    <w:rsid w:val="2B6D7ACB"/>
    <w:rsid w:val="2C772889"/>
    <w:rsid w:val="30CA4CB3"/>
    <w:rsid w:val="343A12B1"/>
    <w:rsid w:val="3A585A70"/>
    <w:rsid w:val="3C3A4DDB"/>
    <w:rsid w:val="438E56E3"/>
    <w:rsid w:val="44DA543B"/>
    <w:rsid w:val="47C44F56"/>
    <w:rsid w:val="49567D19"/>
    <w:rsid w:val="4DC07F2D"/>
    <w:rsid w:val="4F842D4D"/>
    <w:rsid w:val="4F8A149D"/>
    <w:rsid w:val="53026A36"/>
    <w:rsid w:val="58064B79"/>
    <w:rsid w:val="5A3E3CD2"/>
    <w:rsid w:val="5C61531C"/>
    <w:rsid w:val="5D356E68"/>
    <w:rsid w:val="5FD81F33"/>
    <w:rsid w:val="62004FA2"/>
    <w:rsid w:val="64A96A2B"/>
    <w:rsid w:val="663731E8"/>
    <w:rsid w:val="68AB5573"/>
    <w:rsid w:val="6B6D21C1"/>
    <w:rsid w:val="70E41AFF"/>
    <w:rsid w:val="72962B51"/>
    <w:rsid w:val="76622145"/>
    <w:rsid w:val="7A6013FE"/>
    <w:rsid w:val="7AE26286"/>
    <w:rsid w:val="7D8522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link w:val="13"/>
    <w:qFormat/>
    <w:uiPriority w:val="0"/>
    <w:pPr>
      <w:keepNext/>
      <w:keepLines/>
      <w:spacing w:beforeLines="0" w:beforeAutospacing="0" w:afterLines="0" w:afterAutospacing="0" w:line="360" w:lineRule="auto"/>
      <w:jc w:val="center"/>
      <w:outlineLvl w:val="0"/>
    </w:pPr>
    <w:rPr>
      <w:rFonts w:ascii="Arial" w:hAnsi="Arial" w:eastAsia="微软雅黑"/>
      <w:b/>
      <w:kern w:val="44"/>
      <w:sz w:val="36"/>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微软雅黑" w:hAnsi="微软雅黑" w:eastAsia="微软雅黑" w:cs="微软雅黑"/>
      <w:sz w:val="88"/>
      <w:szCs w:val="88"/>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0"/>
    <w:rPr>
      <w:b/>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WPSOffice手动目录 1"/>
    <w:qFormat/>
    <w:uiPriority w:val="0"/>
    <w:pPr>
      <w:ind w:leftChars="0"/>
    </w:pPr>
    <w:rPr>
      <w:rFonts w:ascii="Arial" w:hAnsi="Arial" w:eastAsia="Arial" w:cs="Arial"/>
      <w:sz w:val="20"/>
      <w:szCs w:val="20"/>
    </w:rPr>
  </w:style>
  <w:style w:type="character" w:customStyle="1" w:styleId="13">
    <w:name w:val="标题 1 Char"/>
    <w:link w:val="2"/>
    <w:qFormat/>
    <w:uiPriority w:val="0"/>
    <w:rPr>
      <w:rFonts w:ascii="Arial" w:hAnsi="Arial" w:eastAsia="微软雅黑"/>
      <w:b/>
      <w:kern w:val="44"/>
      <w:sz w:val="36"/>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4932</Words>
  <Characters>4960</Characters>
  <TotalTime>2</TotalTime>
  <ScaleCrop>false</ScaleCrop>
  <LinksUpToDate>false</LinksUpToDate>
  <CharactersWithSpaces>5013</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2024-01-18T16:14:00Z</dcterms:created>
  <dc:creator>Administrator</dc:creator>
  <cp:lastModifiedBy>张师宁</cp:lastModifiedBy>
  <cp:lastPrinted>2026-03-20T06:50:00Z</cp:lastPrinted>
  <dcterms:modified xsi:type="dcterms:W3CDTF">2026-07-09T09:51:43Z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2025-03-13T16:10:59Z</vt:filetime>
  </property>
  <property fmtid="{D5CDD505-2E9C-101B-9397-08002B2CF9AE}" pid="4" name="KSOTemplateDocerSaveRecord">
    <vt:lpwstr>eyJoZGlkIjoiYjQ0OGVmNzc3ZDcyNzQ3NjE5MGQxYzFmZTBmZTVkMjYiLCJ1c2VySWQiOiIxODU2NzU0Nzg0In0=</vt:lpwstr>
  </property>
  <property fmtid="{D5CDD505-2E9C-101B-9397-08002B2CF9AE}" pid="5" name="KSOProductBuildVer">
    <vt:lpwstr>2052-12.1.0.26895</vt:lpwstr>
  </property>
  <property fmtid="{D5CDD505-2E9C-101B-9397-08002B2CF9AE}" pid="6" name="ICV">
    <vt:lpwstr>290D53EE97B84A7B95EF5ABDB35C2D17_13</vt:lpwstr>
  </property>
</Properties>
</file>