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EA8A8E">
      <w:pPr>
        <w:spacing w:line="85" w:lineRule="exact"/>
      </w:pPr>
    </w:p>
    <w:p w14:paraId="57632818">
      <w:pPr>
        <w:spacing w:line="85" w:lineRule="exact"/>
        <w:sectPr>
          <w:pgSz w:w="11907" w:h="16839"/>
          <w:pgMar w:top="1431" w:right="570" w:bottom="0" w:left="1432" w:header="0" w:footer="0" w:gutter="0"/>
          <w:pgNumType w:fmt="decimal"/>
          <w:cols w:equalWidth="0" w:num="1">
            <w:col w:w="9903"/>
          </w:cols>
        </w:sectPr>
      </w:pPr>
    </w:p>
    <w:p w14:paraId="650132FE">
      <w:pPr>
        <w:pStyle w:val="3"/>
        <w:spacing w:before="162" w:line="12869" w:lineRule="exact"/>
      </w:pPr>
      <w:r>
        <w:rPr>
          <w:position w:val="-257"/>
        </w:rPr>
        <w:pict>
          <v:shape id="_x0000_s1026" o:spid="_x0000_s1026" o:spt="202" type="#_x0000_t202" style="height:643.45pt;width:124.2pt;" fillcolor="#FF0000" filled="t" stroked="f" coordsize="21600,21600">
            <v:path/>
            <v:fill on="t" focussize="0,0"/>
            <v:stroke on="f"/>
            <v:imagedata o:title=""/>
            <o:lock v:ext="edit" aspectratio="f"/>
            <v:textbox inset="0mm,0mm,0mm,0mm" style="layout-flow:vertical-ideographic;">
              <w:txbxContent>
                <w:p w14:paraId="3E9885F4">
                  <w:pPr>
                    <w:spacing w:line="242" w:lineRule="auto"/>
                    <w:rPr>
                      <w:rFonts w:ascii="Arial"/>
                      <w:sz w:val="21"/>
                    </w:rPr>
                  </w:pPr>
                </w:p>
                <w:p w14:paraId="107C804A">
                  <w:pPr>
                    <w:spacing w:line="242" w:lineRule="auto"/>
                    <w:rPr>
                      <w:rFonts w:ascii="Arial"/>
                      <w:sz w:val="21"/>
                    </w:rPr>
                  </w:pPr>
                </w:p>
                <w:p w14:paraId="60164ACF">
                  <w:pPr>
                    <w:spacing w:before="388" w:line="177" w:lineRule="auto"/>
                    <w:ind w:firstLine="888" w:firstLineChars="100"/>
                    <w:rPr>
                      <w:rFonts w:ascii="微软雅黑" w:hAnsi="微软雅黑" w:eastAsia="微软雅黑" w:cs="微软雅黑"/>
                      <w:sz w:val="88"/>
                      <w:szCs w:val="88"/>
                    </w:rPr>
                  </w:pPr>
                  <w:bookmarkStart w:id="11" w:name="bookmark1"/>
                  <w:bookmarkEnd w:id="11"/>
                  <w:r>
                    <w:rPr>
                      <w:rFonts w:ascii="微软雅黑" w:hAnsi="微软雅黑" w:eastAsia="微软雅黑" w:cs="微软雅黑"/>
                      <w:b/>
                      <w:bCs/>
                      <w:color w:val="FFFFFF"/>
                      <w:spacing w:val="4"/>
                      <w:sz w:val="88"/>
                      <w:szCs w:val="88"/>
                    </w:rPr>
                    <w:t>理</w:t>
                  </w:r>
                  <w:r>
                    <w:rPr>
                      <w:rFonts w:ascii="微软雅黑" w:hAnsi="微软雅黑" w:eastAsia="微软雅黑" w:cs="微软雅黑"/>
                      <w:b/>
                      <w:bCs/>
                      <w:color w:val="FFFFFF"/>
                      <w:spacing w:val="194"/>
                      <w:sz w:val="88"/>
                      <w:szCs w:val="88"/>
                    </w:rPr>
                    <w:t xml:space="preserve"> </w:t>
                  </w:r>
                  <w:r>
                    <w:rPr>
                      <w:rFonts w:ascii="微软雅黑" w:hAnsi="微软雅黑" w:eastAsia="微软雅黑" w:cs="微软雅黑"/>
                      <w:b/>
                      <w:bCs/>
                      <w:color w:val="FFFFFF"/>
                      <w:spacing w:val="4"/>
                      <w:sz w:val="88"/>
                      <w:szCs w:val="88"/>
                    </w:rPr>
                    <w:t>论</w:t>
                  </w:r>
                  <w:r>
                    <w:rPr>
                      <w:rFonts w:ascii="微软雅黑" w:hAnsi="微软雅黑" w:eastAsia="微软雅黑" w:cs="微软雅黑"/>
                      <w:b/>
                      <w:bCs/>
                      <w:color w:val="FFFFFF"/>
                      <w:spacing w:val="147"/>
                      <w:sz w:val="88"/>
                      <w:szCs w:val="88"/>
                    </w:rPr>
                    <w:t xml:space="preserve"> </w:t>
                  </w:r>
                  <w:r>
                    <w:rPr>
                      <w:rFonts w:ascii="微软雅黑" w:hAnsi="微软雅黑" w:eastAsia="微软雅黑" w:cs="微软雅黑"/>
                      <w:b/>
                      <w:bCs/>
                      <w:color w:val="FFFFFF"/>
                      <w:spacing w:val="4"/>
                      <w:sz w:val="88"/>
                      <w:szCs w:val="88"/>
                    </w:rPr>
                    <w:t>中</w:t>
                  </w:r>
                  <w:r>
                    <w:rPr>
                      <w:rFonts w:ascii="微软雅黑" w:hAnsi="微软雅黑" w:eastAsia="微软雅黑" w:cs="微软雅黑"/>
                      <w:b/>
                      <w:bCs/>
                      <w:color w:val="FFFFFF"/>
                      <w:spacing w:val="164"/>
                      <w:sz w:val="88"/>
                      <w:szCs w:val="88"/>
                    </w:rPr>
                    <w:t xml:space="preserve"> </w:t>
                  </w:r>
                  <w:r>
                    <w:rPr>
                      <w:rFonts w:ascii="微软雅黑" w:hAnsi="微软雅黑" w:eastAsia="微软雅黑" w:cs="微软雅黑"/>
                      <w:b/>
                      <w:bCs/>
                      <w:color w:val="FFFFFF"/>
                      <w:spacing w:val="4"/>
                      <w:sz w:val="88"/>
                      <w:szCs w:val="88"/>
                    </w:rPr>
                    <w:t>心</w:t>
                  </w:r>
                  <w:r>
                    <w:rPr>
                      <w:rFonts w:ascii="微软雅黑" w:hAnsi="微软雅黑" w:eastAsia="微软雅黑" w:cs="微软雅黑"/>
                      <w:b/>
                      <w:bCs/>
                      <w:color w:val="FFFFFF"/>
                      <w:spacing w:val="141"/>
                      <w:sz w:val="88"/>
                      <w:szCs w:val="88"/>
                    </w:rPr>
                    <w:t xml:space="preserve"> </w:t>
                  </w:r>
                  <w:r>
                    <w:rPr>
                      <w:rFonts w:ascii="微软雅黑" w:hAnsi="微软雅黑" w:eastAsia="微软雅黑" w:cs="微软雅黑"/>
                      <w:b/>
                      <w:bCs/>
                      <w:color w:val="FFFFFF"/>
                      <w:spacing w:val="4"/>
                      <w:sz w:val="88"/>
                      <w:szCs w:val="88"/>
                    </w:rPr>
                    <w:t>组</w:t>
                  </w:r>
                  <w:r>
                    <w:rPr>
                      <w:rFonts w:ascii="微软雅黑" w:hAnsi="微软雅黑" w:eastAsia="微软雅黑" w:cs="微软雅黑"/>
                      <w:b/>
                      <w:bCs/>
                      <w:color w:val="FFFFFF"/>
                      <w:spacing w:val="160"/>
                      <w:sz w:val="88"/>
                      <w:szCs w:val="88"/>
                    </w:rPr>
                    <w:t xml:space="preserve"> </w:t>
                  </w:r>
                  <w:r>
                    <w:rPr>
                      <w:rFonts w:ascii="微软雅黑" w:hAnsi="微软雅黑" w:eastAsia="微软雅黑" w:cs="微软雅黑"/>
                      <w:b/>
                      <w:bCs/>
                      <w:color w:val="FFFFFF"/>
                      <w:spacing w:val="4"/>
                      <w:sz w:val="88"/>
                      <w:szCs w:val="88"/>
                    </w:rPr>
                    <w:t>学</w:t>
                  </w:r>
                  <w:r>
                    <w:rPr>
                      <w:rFonts w:ascii="微软雅黑" w:hAnsi="微软雅黑" w:eastAsia="微软雅黑" w:cs="微软雅黑"/>
                      <w:b/>
                      <w:bCs/>
                      <w:color w:val="FFFFFF"/>
                      <w:spacing w:val="155"/>
                      <w:sz w:val="88"/>
                      <w:szCs w:val="88"/>
                    </w:rPr>
                    <w:t xml:space="preserve"> </w:t>
                  </w:r>
                  <w:r>
                    <w:rPr>
                      <w:rFonts w:ascii="微软雅黑" w:hAnsi="微软雅黑" w:eastAsia="微软雅黑" w:cs="微软雅黑"/>
                      <w:b/>
                      <w:bCs/>
                      <w:color w:val="FFFFFF"/>
                      <w:spacing w:val="4"/>
                      <w:sz w:val="88"/>
                      <w:szCs w:val="88"/>
                    </w:rPr>
                    <w:t>习</w:t>
                  </w:r>
                  <w:r>
                    <w:rPr>
                      <w:rFonts w:ascii="微软雅黑" w:hAnsi="微软雅黑" w:eastAsia="微软雅黑" w:cs="微软雅黑"/>
                      <w:b/>
                      <w:bCs/>
                      <w:color w:val="FFFFFF"/>
                      <w:spacing w:val="140"/>
                      <w:sz w:val="88"/>
                      <w:szCs w:val="88"/>
                    </w:rPr>
                    <w:t xml:space="preserve"> </w:t>
                  </w:r>
                  <w:r>
                    <w:rPr>
                      <w:rFonts w:ascii="微软雅黑" w:hAnsi="微软雅黑" w:eastAsia="微软雅黑" w:cs="微软雅黑"/>
                      <w:b/>
                      <w:bCs/>
                      <w:color w:val="FFFFFF"/>
                      <w:spacing w:val="4"/>
                      <w:sz w:val="88"/>
                      <w:szCs w:val="88"/>
                    </w:rPr>
                    <w:t>材</w:t>
                  </w:r>
                  <w:r>
                    <w:rPr>
                      <w:rFonts w:ascii="微软雅黑" w:hAnsi="微软雅黑" w:eastAsia="微软雅黑" w:cs="微软雅黑"/>
                      <w:b/>
                      <w:bCs/>
                      <w:color w:val="FFFFFF"/>
                      <w:spacing w:val="149"/>
                      <w:sz w:val="88"/>
                      <w:szCs w:val="88"/>
                    </w:rPr>
                    <w:t xml:space="preserve"> </w:t>
                  </w:r>
                  <w:r>
                    <w:rPr>
                      <w:rFonts w:ascii="微软雅黑" w:hAnsi="微软雅黑" w:eastAsia="微软雅黑" w:cs="微软雅黑"/>
                      <w:b/>
                      <w:bCs/>
                      <w:color w:val="FFFFFF"/>
                      <w:spacing w:val="4"/>
                      <w:sz w:val="88"/>
                      <w:szCs w:val="88"/>
                    </w:rPr>
                    <w:t>料</w:t>
                  </w:r>
                </w:p>
                <w:p w14:paraId="5DF8A1F5">
                  <w:pPr>
                    <w:spacing w:before="388" w:line="177" w:lineRule="auto"/>
                    <w:rPr>
                      <w:rFonts w:ascii="微软雅黑" w:hAnsi="微软雅黑" w:eastAsia="微软雅黑" w:cs="微软雅黑"/>
                      <w:sz w:val="88"/>
                      <w:szCs w:val="88"/>
                    </w:rPr>
                  </w:pPr>
                </w:p>
              </w:txbxContent>
            </v:textbox>
            <w10:wrap type="none"/>
            <w10:anchorlock/>
          </v:shape>
        </w:pict>
      </w:r>
    </w:p>
    <w:p w14:paraId="794522ED">
      <w:pPr>
        <w:spacing w:line="14" w:lineRule="auto"/>
        <w:rPr>
          <w:rFonts w:ascii="Arial"/>
          <w:sz w:val="2"/>
        </w:rPr>
      </w:pPr>
      <w:r>
        <w:rPr>
          <w:rFonts w:ascii="Arial" w:hAnsi="Arial" w:eastAsia="Arial" w:cs="Arial"/>
          <w:sz w:val="2"/>
          <w:szCs w:val="2"/>
        </w:rPr>
        <w:br w:type="column"/>
      </w:r>
    </w:p>
    <w:p w14:paraId="490CE356">
      <w:pPr>
        <w:pStyle w:val="3"/>
        <w:spacing w:before="324" w:line="212" w:lineRule="auto"/>
        <w:ind w:left="1900"/>
        <w:rPr>
          <w:sz w:val="40"/>
          <w:szCs w:val="40"/>
        </w:rPr>
      </w:pPr>
      <w:r>
        <w:rPr>
          <w:spacing w:val="-28"/>
          <w:sz w:val="40"/>
          <w:szCs w:val="40"/>
        </w:rPr>
        <w:t>202</w:t>
      </w:r>
      <w:r>
        <w:rPr>
          <w:rFonts w:hint="eastAsia"/>
          <w:spacing w:val="-28"/>
          <w:sz w:val="40"/>
          <w:szCs w:val="40"/>
          <w:lang w:val="en-US" w:eastAsia="zh-CN"/>
        </w:rPr>
        <w:t>6</w:t>
      </w:r>
      <w:r>
        <w:rPr>
          <w:spacing w:val="-28"/>
          <w:sz w:val="40"/>
          <w:szCs w:val="40"/>
        </w:rPr>
        <w:t xml:space="preserve"> 年</w:t>
      </w:r>
      <w:r>
        <w:rPr>
          <w:rFonts w:hint="eastAsia"/>
          <w:spacing w:val="-28"/>
          <w:sz w:val="40"/>
          <w:szCs w:val="40"/>
          <w:lang w:val="en-US" w:eastAsia="zh-CN"/>
        </w:rPr>
        <w:t xml:space="preserve"> 7</w:t>
      </w:r>
      <w:r>
        <w:rPr>
          <w:spacing w:val="-28"/>
          <w:sz w:val="40"/>
          <w:szCs w:val="40"/>
        </w:rPr>
        <w:t>月</w:t>
      </w:r>
      <w:r>
        <w:rPr>
          <w:rFonts w:hint="eastAsia"/>
          <w:spacing w:val="-28"/>
          <w:sz w:val="40"/>
          <w:szCs w:val="40"/>
          <w:lang w:val="en-US" w:eastAsia="zh-CN"/>
        </w:rPr>
        <w:t xml:space="preserve"> 23</w:t>
      </w:r>
      <w:r>
        <w:rPr>
          <w:spacing w:val="-28"/>
          <w:sz w:val="40"/>
          <w:szCs w:val="40"/>
        </w:rPr>
        <w:t>日</w:t>
      </w:r>
    </w:p>
    <w:p w14:paraId="654E6B26">
      <w:pPr>
        <w:pStyle w:val="3"/>
        <w:spacing w:before="218" w:line="207" w:lineRule="auto"/>
        <w:ind w:left="2203"/>
        <w:rPr>
          <w:rFonts w:ascii="Arial"/>
          <w:sz w:val="21"/>
        </w:rPr>
      </w:pPr>
      <w:r>
        <w:rPr>
          <w:spacing w:val="-10"/>
          <w:sz w:val="28"/>
          <w:szCs w:val="28"/>
        </w:rPr>
        <w:t>（202</w:t>
      </w:r>
      <w:r>
        <w:rPr>
          <w:rFonts w:hint="eastAsia"/>
          <w:spacing w:val="-10"/>
          <w:sz w:val="28"/>
          <w:szCs w:val="28"/>
          <w:lang w:val="en-US" w:eastAsia="zh-CN"/>
        </w:rPr>
        <w:t>6</w:t>
      </w:r>
      <w:r>
        <w:rPr>
          <w:spacing w:val="-10"/>
          <w:sz w:val="28"/>
          <w:szCs w:val="28"/>
        </w:rPr>
        <w:t xml:space="preserve"> 年</w:t>
      </w:r>
      <w:r>
        <w:rPr>
          <w:rFonts w:hint="eastAsia"/>
          <w:spacing w:val="-10"/>
          <w:sz w:val="28"/>
          <w:szCs w:val="28"/>
          <w:lang w:val="en-US" w:eastAsia="zh-CN"/>
        </w:rPr>
        <w:t xml:space="preserve"> </w:t>
      </w:r>
      <w:r>
        <w:rPr>
          <w:spacing w:val="-10"/>
          <w:sz w:val="28"/>
          <w:szCs w:val="28"/>
        </w:rPr>
        <w:t xml:space="preserve">第 </w:t>
      </w:r>
      <w:r>
        <w:rPr>
          <w:rFonts w:hint="eastAsia"/>
          <w:spacing w:val="-10"/>
          <w:sz w:val="28"/>
          <w:szCs w:val="28"/>
          <w:lang w:val="en-US" w:eastAsia="zh-CN"/>
        </w:rPr>
        <w:t xml:space="preserve">12 </w:t>
      </w:r>
      <w:r>
        <w:rPr>
          <w:spacing w:val="-10"/>
          <w:sz w:val="28"/>
          <w:szCs w:val="28"/>
        </w:rPr>
        <w:t>期）</w:t>
      </w:r>
    </w:p>
    <w:p w14:paraId="2364156B">
      <w:pPr>
        <w:spacing w:line="260" w:lineRule="auto"/>
        <w:rPr>
          <w:rFonts w:ascii="Arial"/>
          <w:sz w:val="21"/>
        </w:rPr>
      </w:pPr>
    </w:p>
    <w:sdt>
      <w:sdtPr>
        <w:rPr>
          <w:rFonts w:hint="eastAsia" w:ascii="楷体" w:hAnsi="楷体" w:eastAsia="楷体" w:cs="楷体"/>
          <w:snapToGrid w:val="0"/>
          <w:color w:val="000000"/>
          <w:kern w:val="0"/>
          <w:sz w:val="21"/>
          <w:szCs w:val="21"/>
          <w:lang w:val="en-US" w:eastAsia="en-US" w:bidi="ar-SA"/>
        </w:rPr>
        <w:id w:val="147466167"/>
        <w15:color w:val="DBDBDB"/>
        <w:docPartObj>
          <w:docPartGallery w:val="Table of Contents"/>
          <w:docPartUnique/>
        </w:docPartObj>
      </w:sdtPr>
      <w:sdtEndPr>
        <w:rPr>
          <w:rFonts w:hint="eastAsia" w:ascii="楷体" w:hAnsi="楷体" w:eastAsia="楷体" w:cs="楷体"/>
          <w:snapToGrid w:val="0"/>
          <w:color w:val="000000"/>
          <w:kern w:val="0"/>
          <w:sz w:val="31"/>
          <w:szCs w:val="31"/>
          <w:lang w:val="en-US" w:eastAsia="en-US" w:bidi="ar-SA"/>
        </w:rPr>
      </w:sdtEndPr>
      <w:sdtContent>
        <w:p w14:paraId="0C87FECD">
          <w:pPr>
            <w:spacing w:before="0" w:beforeLines="0" w:after="0" w:afterLines="0" w:line="240" w:lineRule="auto"/>
            <w:ind w:left="0" w:leftChars="0" w:right="0" w:rightChars="0" w:firstLine="0" w:firstLineChars="0"/>
            <w:jc w:val="center"/>
            <w:rPr>
              <w:rFonts w:hint="eastAsia" w:ascii="楷体" w:hAnsi="楷体" w:eastAsia="楷体" w:cs="楷体"/>
              <w:sz w:val="31"/>
              <w:szCs w:val="31"/>
            </w:rPr>
          </w:pPr>
          <w:r>
            <w:rPr>
              <w:rFonts w:hint="eastAsia" w:ascii="楷体" w:hAnsi="楷体" w:eastAsia="楷体" w:cs="楷体"/>
              <w:sz w:val="31"/>
              <w:szCs w:val="31"/>
            </w:rPr>
            <w:t>目</w:t>
          </w:r>
          <w:r>
            <w:rPr>
              <w:rFonts w:hint="eastAsia" w:ascii="楷体" w:hAnsi="楷体" w:eastAsia="楷体" w:cs="楷体"/>
              <w:sz w:val="31"/>
              <w:szCs w:val="31"/>
              <w:lang w:val="en-US" w:eastAsia="zh-CN"/>
            </w:rPr>
            <w:t xml:space="preserve">  </w:t>
          </w:r>
          <w:r>
            <w:rPr>
              <w:rFonts w:hint="eastAsia" w:ascii="楷体" w:hAnsi="楷体" w:eastAsia="楷体" w:cs="楷体"/>
              <w:sz w:val="31"/>
              <w:szCs w:val="31"/>
            </w:rPr>
            <w:t>录</w:t>
          </w:r>
        </w:p>
        <w:p w14:paraId="13124B0F">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1.</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_Toc31326 </w:instrText>
          </w:r>
          <w:r>
            <w:rPr>
              <w:rFonts w:hint="eastAsia" w:ascii="楷体" w:hAnsi="楷体" w:eastAsia="楷体" w:cs="楷体"/>
              <w:sz w:val="31"/>
              <w:szCs w:val="31"/>
            </w:rPr>
            <w:fldChar w:fldCharType="separate"/>
          </w:r>
          <w:r>
            <w:rPr>
              <w:rFonts w:hint="eastAsia" w:ascii="楷体" w:hAnsi="楷体" w:eastAsia="楷体" w:cs="楷体"/>
              <w:sz w:val="31"/>
              <w:szCs w:val="31"/>
            </w:rPr>
            <w:t>习近平：在庆祝中国共产党成立105周年大会上的讲话</w:t>
          </w:r>
          <w:r>
            <w:rPr>
              <w:rFonts w:hint="eastAsia" w:ascii="楷体" w:hAnsi="楷体" w:eastAsia="楷体" w:cs="楷体"/>
              <w:sz w:val="31"/>
              <w:szCs w:val="31"/>
            </w:rPr>
            <w:tab/>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PAGEREF _Toc31326 \h </w:instrText>
          </w:r>
          <w:r>
            <w:rPr>
              <w:rFonts w:hint="eastAsia" w:ascii="楷体" w:hAnsi="楷体" w:eastAsia="楷体" w:cs="楷体"/>
              <w:sz w:val="31"/>
              <w:szCs w:val="31"/>
            </w:rPr>
            <w:fldChar w:fldCharType="separate"/>
          </w:r>
          <w:r>
            <w:rPr>
              <w:rFonts w:hint="eastAsia" w:ascii="楷体" w:hAnsi="楷体" w:eastAsia="楷体" w:cs="楷体"/>
              <w:sz w:val="31"/>
              <w:szCs w:val="31"/>
            </w:rPr>
            <w:t>1</w:t>
          </w:r>
          <w:r>
            <w:rPr>
              <w:rFonts w:hint="eastAsia" w:ascii="楷体" w:hAnsi="楷体" w:eastAsia="楷体" w:cs="楷体"/>
              <w:sz w:val="31"/>
              <w:szCs w:val="31"/>
            </w:rPr>
            <w:fldChar w:fldCharType="end"/>
          </w:r>
          <w:r>
            <w:rPr>
              <w:rFonts w:hint="eastAsia" w:ascii="楷体" w:hAnsi="楷体" w:eastAsia="楷体" w:cs="楷体"/>
              <w:sz w:val="31"/>
              <w:szCs w:val="31"/>
            </w:rPr>
            <w:fldChar w:fldCharType="end"/>
          </w:r>
        </w:p>
        <w:p w14:paraId="622D32A3">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2.</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_Toc331 </w:instrText>
          </w:r>
          <w:r>
            <w:rPr>
              <w:rFonts w:hint="eastAsia" w:ascii="楷体" w:hAnsi="楷体" w:eastAsia="楷体" w:cs="楷体"/>
              <w:sz w:val="31"/>
              <w:szCs w:val="31"/>
            </w:rPr>
            <w:fldChar w:fldCharType="separate"/>
          </w:r>
          <w:r>
            <w:rPr>
              <w:rFonts w:hint="eastAsia" w:ascii="楷体" w:hAnsi="楷体" w:eastAsia="楷体" w:cs="楷体"/>
              <w:sz w:val="31"/>
              <w:szCs w:val="31"/>
            </w:rPr>
            <w:t>习近平：做焦裕禄式的县委书记</w:t>
          </w:r>
          <w:r>
            <w:rPr>
              <w:rFonts w:hint="eastAsia" w:ascii="楷体" w:hAnsi="楷体" w:eastAsia="楷体" w:cs="楷体"/>
              <w:sz w:val="31"/>
              <w:szCs w:val="31"/>
            </w:rPr>
            <w:tab/>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PAGEREF _Toc331 \h </w:instrText>
          </w:r>
          <w:r>
            <w:rPr>
              <w:rFonts w:hint="eastAsia" w:ascii="楷体" w:hAnsi="楷体" w:eastAsia="楷体" w:cs="楷体"/>
              <w:sz w:val="31"/>
              <w:szCs w:val="31"/>
            </w:rPr>
            <w:fldChar w:fldCharType="separate"/>
          </w:r>
          <w:r>
            <w:rPr>
              <w:rFonts w:hint="eastAsia" w:ascii="楷体" w:hAnsi="楷体" w:eastAsia="楷体" w:cs="楷体"/>
              <w:sz w:val="31"/>
              <w:szCs w:val="31"/>
            </w:rPr>
            <w:t>10</w:t>
          </w:r>
          <w:r>
            <w:rPr>
              <w:rFonts w:hint="eastAsia" w:ascii="楷体" w:hAnsi="楷体" w:eastAsia="楷体" w:cs="楷体"/>
              <w:sz w:val="31"/>
              <w:szCs w:val="31"/>
            </w:rPr>
            <w:fldChar w:fldCharType="end"/>
          </w:r>
          <w:r>
            <w:rPr>
              <w:rFonts w:hint="eastAsia" w:ascii="楷体" w:hAnsi="楷体" w:eastAsia="楷体" w:cs="楷体"/>
              <w:sz w:val="31"/>
              <w:szCs w:val="31"/>
            </w:rPr>
            <w:fldChar w:fldCharType="end"/>
          </w:r>
        </w:p>
        <w:p w14:paraId="0A95EFEA">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3.</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_Toc31667 </w:instrText>
          </w:r>
          <w:r>
            <w:rPr>
              <w:rFonts w:hint="eastAsia" w:ascii="楷体" w:hAnsi="楷体" w:eastAsia="楷体" w:cs="楷体"/>
              <w:sz w:val="31"/>
              <w:szCs w:val="31"/>
            </w:rPr>
            <w:fldChar w:fldCharType="separate"/>
          </w:r>
          <w:r>
            <w:rPr>
              <w:rFonts w:hint="eastAsia" w:ascii="楷体" w:hAnsi="楷体" w:eastAsia="楷体" w:cs="楷体"/>
              <w:sz w:val="31"/>
              <w:szCs w:val="31"/>
            </w:rPr>
            <w:t>习近平对防汛救灾工作作出重要指示</w:t>
          </w:r>
          <w:r>
            <w:rPr>
              <w:rFonts w:hint="eastAsia" w:ascii="楷体" w:hAnsi="楷体" w:eastAsia="楷体" w:cs="楷体"/>
              <w:sz w:val="31"/>
              <w:szCs w:val="31"/>
            </w:rPr>
            <w:tab/>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PAGEREF _Toc31667 \h </w:instrText>
          </w:r>
          <w:r>
            <w:rPr>
              <w:rFonts w:hint="eastAsia" w:ascii="楷体" w:hAnsi="楷体" w:eastAsia="楷体" w:cs="楷体"/>
              <w:sz w:val="31"/>
              <w:szCs w:val="31"/>
            </w:rPr>
            <w:fldChar w:fldCharType="separate"/>
          </w:r>
          <w:r>
            <w:rPr>
              <w:rFonts w:hint="eastAsia" w:ascii="楷体" w:hAnsi="楷体" w:eastAsia="楷体" w:cs="楷体"/>
              <w:sz w:val="31"/>
              <w:szCs w:val="31"/>
            </w:rPr>
            <w:t>21</w:t>
          </w:r>
          <w:r>
            <w:rPr>
              <w:rFonts w:hint="eastAsia" w:ascii="楷体" w:hAnsi="楷体" w:eastAsia="楷体" w:cs="楷体"/>
              <w:sz w:val="31"/>
              <w:szCs w:val="31"/>
            </w:rPr>
            <w:fldChar w:fldCharType="end"/>
          </w:r>
          <w:r>
            <w:rPr>
              <w:rFonts w:hint="eastAsia" w:ascii="楷体" w:hAnsi="楷体" w:eastAsia="楷体" w:cs="楷体"/>
              <w:sz w:val="31"/>
              <w:szCs w:val="31"/>
            </w:rPr>
            <w:fldChar w:fldCharType="end"/>
          </w:r>
        </w:p>
        <w:p w14:paraId="337E6971">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4.</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_Toc542 </w:instrText>
          </w:r>
          <w:r>
            <w:rPr>
              <w:rFonts w:hint="eastAsia" w:ascii="楷体" w:hAnsi="楷体" w:eastAsia="楷体" w:cs="楷体"/>
              <w:sz w:val="31"/>
              <w:szCs w:val="31"/>
            </w:rPr>
            <w:fldChar w:fldCharType="separate"/>
          </w:r>
          <w:r>
            <w:rPr>
              <w:rFonts w:hint="eastAsia" w:ascii="楷体" w:hAnsi="楷体" w:eastAsia="楷体" w:cs="楷体"/>
              <w:sz w:val="31"/>
              <w:szCs w:val="31"/>
              <w:lang w:val="en-US" w:eastAsia="zh-CN"/>
            </w:rPr>
            <w:t>习近平出席国家科学技术奖励大会两院院士大会中国科协第十一次全国代表大会并发表重要讲话</w:t>
          </w:r>
          <w:r>
            <w:rPr>
              <w:rFonts w:hint="eastAsia" w:ascii="楷体" w:hAnsi="楷体" w:eastAsia="楷体" w:cs="楷体"/>
              <w:sz w:val="31"/>
              <w:szCs w:val="31"/>
            </w:rPr>
            <w:tab/>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PAGEREF _Toc542 \h </w:instrText>
          </w:r>
          <w:r>
            <w:rPr>
              <w:rFonts w:hint="eastAsia" w:ascii="楷体" w:hAnsi="楷体" w:eastAsia="楷体" w:cs="楷体"/>
              <w:sz w:val="31"/>
              <w:szCs w:val="31"/>
            </w:rPr>
            <w:fldChar w:fldCharType="separate"/>
          </w:r>
          <w:r>
            <w:rPr>
              <w:rFonts w:hint="eastAsia" w:ascii="楷体" w:hAnsi="楷体" w:eastAsia="楷体" w:cs="楷体"/>
              <w:sz w:val="31"/>
              <w:szCs w:val="31"/>
            </w:rPr>
            <w:t>22</w:t>
          </w:r>
          <w:r>
            <w:rPr>
              <w:rFonts w:hint="eastAsia" w:ascii="楷体" w:hAnsi="楷体" w:eastAsia="楷体" w:cs="楷体"/>
              <w:sz w:val="31"/>
              <w:szCs w:val="31"/>
            </w:rPr>
            <w:fldChar w:fldCharType="end"/>
          </w:r>
          <w:r>
            <w:rPr>
              <w:rFonts w:hint="eastAsia" w:ascii="楷体" w:hAnsi="楷体" w:eastAsia="楷体" w:cs="楷体"/>
              <w:sz w:val="31"/>
              <w:szCs w:val="31"/>
            </w:rPr>
            <w:fldChar w:fldCharType="end"/>
          </w:r>
        </w:p>
        <w:p w14:paraId="1F9A6BE7">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5.</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_Toc25701 </w:instrText>
          </w:r>
          <w:r>
            <w:rPr>
              <w:rFonts w:hint="eastAsia" w:ascii="楷体" w:hAnsi="楷体" w:eastAsia="楷体" w:cs="楷体"/>
              <w:sz w:val="31"/>
              <w:szCs w:val="31"/>
            </w:rPr>
            <w:fldChar w:fldCharType="separate"/>
          </w:r>
          <w:r>
            <w:rPr>
              <w:rFonts w:hint="eastAsia" w:ascii="楷体" w:hAnsi="楷体" w:eastAsia="楷体" w:cs="楷体"/>
              <w:sz w:val="31"/>
              <w:szCs w:val="31"/>
            </w:rPr>
            <w:t>习近平对福建泉州晋江市一鞋厂火灾事故作出重要指示</w:t>
          </w:r>
          <w:r>
            <w:rPr>
              <w:rFonts w:hint="eastAsia" w:ascii="楷体" w:hAnsi="楷体" w:eastAsia="楷体" w:cs="楷体"/>
              <w:sz w:val="31"/>
              <w:szCs w:val="31"/>
            </w:rPr>
            <w:tab/>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PAGEREF _Toc25701 \h </w:instrText>
          </w:r>
          <w:r>
            <w:rPr>
              <w:rFonts w:hint="eastAsia" w:ascii="楷体" w:hAnsi="楷体" w:eastAsia="楷体" w:cs="楷体"/>
              <w:sz w:val="31"/>
              <w:szCs w:val="31"/>
            </w:rPr>
            <w:fldChar w:fldCharType="separate"/>
          </w:r>
          <w:r>
            <w:rPr>
              <w:rFonts w:hint="eastAsia" w:ascii="楷体" w:hAnsi="楷体" w:eastAsia="楷体" w:cs="楷体"/>
              <w:sz w:val="31"/>
              <w:szCs w:val="31"/>
            </w:rPr>
            <w:t>27</w:t>
          </w:r>
          <w:r>
            <w:rPr>
              <w:rFonts w:hint="eastAsia" w:ascii="楷体" w:hAnsi="楷体" w:eastAsia="楷体" w:cs="楷体"/>
              <w:sz w:val="31"/>
              <w:szCs w:val="31"/>
            </w:rPr>
            <w:fldChar w:fldCharType="end"/>
          </w:r>
          <w:r>
            <w:rPr>
              <w:rFonts w:hint="eastAsia" w:ascii="楷体" w:hAnsi="楷体" w:eastAsia="楷体" w:cs="楷体"/>
              <w:sz w:val="31"/>
              <w:szCs w:val="31"/>
            </w:rPr>
            <w:fldChar w:fldCharType="end"/>
          </w:r>
        </w:p>
        <w:p w14:paraId="60BA5DD4">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6.</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_Toc6571 </w:instrText>
          </w:r>
          <w:r>
            <w:rPr>
              <w:rFonts w:hint="eastAsia" w:ascii="楷体" w:hAnsi="楷体" w:eastAsia="楷体" w:cs="楷体"/>
              <w:sz w:val="31"/>
              <w:szCs w:val="31"/>
            </w:rPr>
            <w:fldChar w:fldCharType="separate"/>
          </w:r>
          <w:r>
            <w:rPr>
              <w:rFonts w:hint="eastAsia" w:ascii="楷体" w:hAnsi="楷体" w:eastAsia="楷体" w:cs="楷体"/>
              <w:sz w:val="31"/>
              <w:szCs w:val="31"/>
            </w:rPr>
            <w:t>习近平在上海考察</w:t>
          </w:r>
          <w:r>
            <w:rPr>
              <w:rFonts w:hint="eastAsia" w:ascii="楷体" w:hAnsi="楷体" w:eastAsia="楷体" w:cs="楷体"/>
              <w:sz w:val="31"/>
              <w:szCs w:val="31"/>
            </w:rPr>
            <w:tab/>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PAGEREF _Toc6571 \h </w:instrText>
          </w:r>
          <w:r>
            <w:rPr>
              <w:rFonts w:hint="eastAsia" w:ascii="楷体" w:hAnsi="楷体" w:eastAsia="楷体" w:cs="楷体"/>
              <w:sz w:val="31"/>
              <w:szCs w:val="31"/>
            </w:rPr>
            <w:fldChar w:fldCharType="separate"/>
          </w:r>
          <w:r>
            <w:rPr>
              <w:rFonts w:hint="eastAsia" w:ascii="楷体" w:hAnsi="楷体" w:eastAsia="楷体" w:cs="楷体"/>
              <w:sz w:val="31"/>
              <w:szCs w:val="31"/>
            </w:rPr>
            <w:t>28</w:t>
          </w:r>
          <w:r>
            <w:rPr>
              <w:rFonts w:hint="eastAsia" w:ascii="楷体" w:hAnsi="楷体" w:eastAsia="楷体" w:cs="楷体"/>
              <w:sz w:val="31"/>
              <w:szCs w:val="31"/>
            </w:rPr>
            <w:fldChar w:fldCharType="end"/>
          </w:r>
          <w:r>
            <w:rPr>
              <w:rFonts w:hint="eastAsia" w:ascii="楷体" w:hAnsi="楷体" w:eastAsia="楷体" w:cs="楷体"/>
              <w:sz w:val="31"/>
              <w:szCs w:val="31"/>
            </w:rPr>
            <w:fldChar w:fldCharType="end"/>
          </w:r>
        </w:p>
        <w:p w14:paraId="29DBA5C0">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rPr>
          </w:pPr>
          <w:r>
            <w:rPr>
              <w:rFonts w:hint="eastAsia" w:ascii="楷体" w:hAnsi="楷体" w:eastAsia="楷体" w:cs="楷体"/>
              <w:sz w:val="31"/>
              <w:szCs w:val="31"/>
              <w:lang w:val="en-US" w:eastAsia="zh-CN"/>
            </w:rPr>
            <w:t>7.</w:t>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HYPERLINK \l _Toc28538 </w:instrText>
          </w:r>
          <w:r>
            <w:rPr>
              <w:rFonts w:hint="eastAsia" w:ascii="楷体" w:hAnsi="楷体" w:eastAsia="楷体" w:cs="楷体"/>
              <w:sz w:val="31"/>
              <w:szCs w:val="31"/>
            </w:rPr>
            <w:fldChar w:fldCharType="separate"/>
          </w:r>
          <w:r>
            <w:rPr>
              <w:rFonts w:hint="eastAsia" w:ascii="楷体" w:hAnsi="楷体" w:eastAsia="楷体" w:cs="楷体"/>
              <w:sz w:val="31"/>
              <w:szCs w:val="31"/>
            </w:rPr>
            <w:t>习近平出席2026世界人工智能大会暨人工智能全球治理高级别会议开幕式并发表主旨讲话</w:t>
          </w:r>
          <w:r>
            <w:rPr>
              <w:rFonts w:hint="eastAsia" w:ascii="楷体" w:hAnsi="楷体" w:eastAsia="楷体" w:cs="楷体"/>
              <w:sz w:val="31"/>
              <w:szCs w:val="31"/>
            </w:rPr>
            <w:tab/>
          </w:r>
          <w:r>
            <w:rPr>
              <w:rFonts w:hint="eastAsia" w:ascii="楷体" w:hAnsi="楷体" w:eastAsia="楷体" w:cs="楷体"/>
              <w:sz w:val="31"/>
              <w:szCs w:val="31"/>
            </w:rPr>
            <w:fldChar w:fldCharType="begin"/>
          </w:r>
          <w:r>
            <w:rPr>
              <w:rFonts w:hint="eastAsia" w:ascii="楷体" w:hAnsi="楷体" w:eastAsia="楷体" w:cs="楷体"/>
              <w:sz w:val="31"/>
              <w:szCs w:val="31"/>
            </w:rPr>
            <w:instrText xml:space="preserve"> PAGEREF _Toc28538 \h </w:instrText>
          </w:r>
          <w:r>
            <w:rPr>
              <w:rFonts w:hint="eastAsia" w:ascii="楷体" w:hAnsi="楷体" w:eastAsia="楷体" w:cs="楷体"/>
              <w:sz w:val="31"/>
              <w:szCs w:val="31"/>
            </w:rPr>
            <w:fldChar w:fldCharType="separate"/>
          </w:r>
          <w:r>
            <w:rPr>
              <w:rFonts w:hint="eastAsia" w:ascii="楷体" w:hAnsi="楷体" w:eastAsia="楷体" w:cs="楷体"/>
              <w:sz w:val="31"/>
              <w:szCs w:val="31"/>
            </w:rPr>
            <w:t>30</w:t>
          </w:r>
          <w:r>
            <w:rPr>
              <w:rFonts w:hint="eastAsia" w:ascii="楷体" w:hAnsi="楷体" w:eastAsia="楷体" w:cs="楷体"/>
              <w:sz w:val="31"/>
              <w:szCs w:val="31"/>
            </w:rPr>
            <w:fldChar w:fldCharType="end"/>
          </w:r>
          <w:r>
            <w:rPr>
              <w:rFonts w:hint="eastAsia" w:ascii="楷体" w:hAnsi="楷体" w:eastAsia="楷体" w:cs="楷体"/>
              <w:sz w:val="31"/>
              <w:szCs w:val="31"/>
            </w:rPr>
            <w:fldChar w:fldCharType="end"/>
          </w:r>
        </w:p>
        <w:p w14:paraId="1709DA3C">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lang w:val="en-US" w:eastAsia="zh-CN"/>
            </w:rPr>
          </w:pPr>
          <w:r>
            <w:rPr>
              <w:rFonts w:hint="eastAsia" w:ascii="楷体" w:hAnsi="楷体" w:eastAsia="楷体" w:cs="楷体"/>
              <w:sz w:val="31"/>
              <w:szCs w:val="31"/>
              <w:lang w:val="en-US" w:eastAsia="zh-CN"/>
            </w:rPr>
            <w:t>8.</w:t>
          </w:r>
          <w:r>
            <w:rPr>
              <w:rFonts w:hint="eastAsia" w:ascii="楷体" w:hAnsi="楷体" w:eastAsia="楷体" w:cs="楷体"/>
              <w:sz w:val="31"/>
              <w:szCs w:val="31"/>
              <w:lang w:val="en-US" w:eastAsia="zh-CN"/>
            </w:rPr>
            <w:fldChar w:fldCharType="begin"/>
          </w:r>
          <w:r>
            <w:rPr>
              <w:rFonts w:hint="eastAsia" w:ascii="楷体" w:hAnsi="楷体" w:eastAsia="楷体" w:cs="楷体"/>
              <w:sz w:val="31"/>
              <w:szCs w:val="31"/>
              <w:lang w:val="en-US" w:eastAsia="zh-CN"/>
            </w:rPr>
            <w:instrText xml:space="preserve"> HYPERLINK \l _Toc12117 </w:instrText>
          </w:r>
          <w:r>
            <w:rPr>
              <w:rFonts w:hint="eastAsia" w:ascii="楷体" w:hAnsi="楷体" w:eastAsia="楷体" w:cs="楷体"/>
              <w:sz w:val="31"/>
              <w:szCs w:val="31"/>
              <w:lang w:val="en-US" w:eastAsia="zh-CN"/>
            </w:rPr>
            <w:fldChar w:fldCharType="separate"/>
          </w:r>
          <w:r>
            <w:rPr>
              <w:rFonts w:hint="eastAsia" w:ascii="楷体" w:hAnsi="楷体" w:eastAsia="楷体" w:cs="楷体"/>
              <w:sz w:val="31"/>
              <w:szCs w:val="31"/>
              <w:lang w:val="en-US" w:eastAsia="zh-CN"/>
            </w:rPr>
            <w:t>习近平对基础教育工作作出重要指示</w:t>
          </w:r>
          <w:r>
            <w:rPr>
              <w:rFonts w:hint="eastAsia" w:ascii="楷体" w:hAnsi="楷体" w:eastAsia="楷体" w:cs="楷体"/>
              <w:sz w:val="31"/>
              <w:szCs w:val="31"/>
              <w:lang w:val="en-US" w:eastAsia="zh-CN"/>
            </w:rPr>
            <w:tab/>
          </w:r>
          <w:r>
            <w:rPr>
              <w:rFonts w:hint="eastAsia" w:ascii="楷体" w:hAnsi="楷体" w:eastAsia="楷体" w:cs="楷体"/>
              <w:sz w:val="31"/>
              <w:szCs w:val="31"/>
              <w:lang w:val="en-US" w:eastAsia="zh-CN"/>
            </w:rPr>
            <w:fldChar w:fldCharType="begin"/>
          </w:r>
          <w:r>
            <w:rPr>
              <w:rFonts w:hint="eastAsia" w:ascii="楷体" w:hAnsi="楷体" w:eastAsia="楷体" w:cs="楷体"/>
              <w:sz w:val="31"/>
              <w:szCs w:val="31"/>
              <w:lang w:val="en-US" w:eastAsia="zh-CN"/>
            </w:rPr>
            <w:instrText xml:space="preserve"> PAGEREF _Toc12117 \h </w:instrText>
          </w:r>
          <w:r>
            <w:rPr>
              <w:rFonts w:hint="eastAsia" w:ascii="楷体" w:hAnsi="楷体" w:eastAsia="楷体" w:cs="楷体"/>
              <w:sz w:val="31"/>
              <w:szCs w:val="31"/>
              <w:lang w:val="en-US" w:eastAsia="zh-CN"/>
            </w:rPr>
            <w:fldChar w:fldCharType="separate"/>
          </w:r>
          <w:r>
            <w:rPr>
              <w:rFonts w:hint="eastAsia" w:ascii="楷体" w:hAnsi="楷体" w:eastAsia="楷体" w:cs="楷体"/>
              <w:sz w:val="31"/>
              <w:szCs w:val="31"/>
              <w:lang w:val="en-US" w:eastAsia="zh-CN"/>
            </w:rPr>
            <w:t>34</w:t>
          </w:r>
          <w:r>
            <w:rPr>
              <w:rFonts w:hint="eastAsia" w:ascii="楷体" w:hAnsi="楷体" w:eastAsia="楷体" w:cs="楷体"/>
              <w:sz w:val="31"/>
              <w:szCs w:val="31"/>
              <w:lang w:val="en-US" w:eastAsia="zh-CN"/>
            </w:rPr>
            <w:fldChar w:fldCharType="end"/>
          </w:r>
          <w:r>
            <w:rPr>
              <w:rFonts w:hint="eastAsia" w:ascii="楷体" w:hAnsi="楷体" w:eastAsia="楷体" w:cs="楷体"/>
              <w:sz w:val="31"/>
              <w:szCs w:val="31"/>
              <w:lang w:val="en-US" w:eastAsia="zh-CN"/>
            </w:rPr>
            <w:fldChar w:fldCharType="end"/>
          </w:r>
        </w:p>
        <w:p w14:paraId="72CA8F3C">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lang w:val="en-US" w:eastAsia="zh-CN"/>
            </w:rPr>
          </w:pPr>
          <w:r>
            <w:rPr>
              <w:rFonts w:hint="eastAsia" w:ascii="楷体" w:hAnsi="楷体" w:eastAsia="楷体" w:cs="楷体"/>
              <w:sz w:val="31"/>
              <w:szCs w:val="31"/>
              <w:lang w:val="en-US" w:eastAsia="zh-CN"/>
            </w:rPr>
            <w:t>9.</w:t>
          </w:r>
          <w:r>
            <w:rPr>
              <w:rFonts w:hint="eastAsia" w:ascii="楷体" w:hAnsi="楷体" w:eastAsia="楷体" w:cs="楷体"/>
              <w:sz w:val="31"/>
              <w:szCs w:val="31"/>
              <w:lang w:val="en-US" w:eastAsia="zh-CN"/>
            </w:rPr>
            <w:fldChar w:fldCharType="begin"/>
          </w:r>
          <w:r>
            <w:rPr>
              <w:rFonts w:hint="eastAsia" w:ascii="楷体" w:hAnsi="楷体" w:eastAsia="楷体" w:cs="楷体"/>
              <w:sz w:val="31"/>
              <w:szCs w:val="31"/>
              <w:lang w:val="en-US" w:eastAsia="zh-CN"/>
            </w:rPr>
            <w:instrText xml:space="preserve"> HYPERLINK \l _Toc12117 </w:instrText>
          </w:r>
          <w:r>
            <w:rPr>
              <w:rFonts w:hint="eastAsia" w:ascii="楷体" w:hAnsi="楷体" w:eastAsia="楷体" w:cs="楷体"/>
              <w:sz w:val="31"/>
              <w:szCs w:val="31"/>
              <w:lang w:val="en-US" w:eastAsia="zh-CN"/>
            </w:rPr>
            <w:fldChar w:fldCharType="separate"/>
          </w:r>
          <w:r>
            <w:rPr>
              <w:rFonts w:hint="eastAsia" w:ascii="楷体" w:hAnsi="楷体" w:eastAsia="楷体" w:cs="楷体"/>
              <w:sz w:val="31"/>
              <w:szCs w:val="31"/>
              <w:lang w:val="en-US" w:eastAsia="zh-CN"/>
            </w:rPr>
            <w:t>“努力让每个孩子都能享有公平而有质量的教育”——习近平总书记关于教育的重要论述指引基础教育高质量发展</w:t>
          </w:r>
          <w:r>
            <w:rPr>
              <w:rFonts w:hint="eastAsia" w:ascii="楷体" w:hAnsi="楷体" w:eastAsia="楷体" w:cs="楷体"/>
              <w:sz w:val="31"/>
              <w:szCs w:val="31"/>
              <w:lang w:val="en-US" w:eastAsia="zh-CN"/>
            </w:rPr>
            <w:tab/>
          </w:r>
          <w:r>
            <w:rPr>
              <w:rFonts w:hint="eastAsia" w:ascii="楷体" w:hAnsi="楷体" w:eastAsia="楷体" w:cs="楷体"/>
              <w:sz w:val="31"/>
              <w:szCs w:val="31"/>
              <w:lang w:val="en-US" w:eastAsia="zh-CN"/>
            </w:rPr>
            <w:fldChar w:fldCharType="begin"/>
          </w:r>
          <w:r>
            <w:rPr>
              <w:rFonts w:hint="eastAsia" w:ascii="楷体" w:hAnsi="楷体" w:eastAsia="楷体" w:cs="楷体"/>
              <w:sz w:val="31"/>
              <w:szCs w:val="31"/>
              <w:lang w:val="en-US" w:eastAsia="zh-CN"/>
            </w:rPr>
            <w:instrText xml:space="preserve"> PAGEREF _Toc12117 \h </w:instrText>
          </w:r>
          <w:r>
            <w:rPr>
              <w:rFonts w:hint="eastAsia" w:ascii="楷体" w:hAnsi="楷体" w:eastAsia="楷体" w:cs="楷体"/>
              <w:sz w:val="31"/>
              <w:szCs w:val="31"/>
              <w:lang w:val="en-US" w:eastAsia="zh-CN"/>
            </w:rPr>
            <w:fldChar w:fldCharType="separate"/>
          </w:r>
          <w:r>
            <w:rPr>
              <w:rFonts w:hint="eastAsia" w:ascii="楷体" w:hAnsi="楷体" w:eastAsia="楷体" w:cs="楷体"/>
              <w:sz w:val="31"/>
              <w:szCs w:val="31"/>
              <w:lang w:val="en-US" w:eastAsia="zh-CN"/>
            </w:rPr>
            <w:t>36</w:t>
          </w:r>
          <w:r>
            <w:rPr>
              <w:rFonts w:hint="eastAsia" w:ascii="楷体" w:hAnsi="楷体" w:eastAsia="楷体" w:cs="楷体"/>
              <w:sz w:val="31"/>
              <w:szCs w:val="31"/>
              <w:lang w:val="en-US" w:eastAsia="zh-CN"/>
            </w:rPr>
            <w:fldChar w:fldCharType="end"/>
          </w:r>
          <w:r>
            <w:rPr>
              <w:rFonts w:hint="eastAsia" w:ascii="楷体" w:hAnsi="楷体" w:eastAsia="楷体" w:cs="楷体"/>
              <w:sz w:val="31"/>
              <w:szCs w:val="31"/>
              <w:lang w:val="en-US" w:eastAsia="zh-CN"/>
            </w:rPr>
            <w:fldChar w:fldCharType="end"/>
          </w:r>
        </w:p>
        <w:p w14:paraId="2917F8DC">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default"/>
              <w:lang w:val="en-US" w:eastAsia="zh-CN"/>
            </w:rPr>
          </w:pPr>
          <w:r>
            <w:rPr>
              <w:rFonts w:hint="eastAsia" w:ascii="楷体" w:hAnsi="楷体" w:eastAsia="楷体" w:cs="楷体"/>
              <w:sz w:val="31"/>
              <w:szCs w:val="31"/>
              <w:lang w:val="en-US" w:eastAsia="zh-CN"/>
            </w:rPr>
            <w:t>10.</w:t>
          </w:r>
          <w:r>
            <w:rPr>
              <w:rFonts w:hint="eastAsia" w:ascii="楷体" w:hAnsi="楷体" w:eastAsia="楷体" w:cs="楷体"/>
              <w:sz w:val="31"/>
              <w:szCs w:val="31"/>
              <w:lang w:val="en-US" w:eastAsia="zh-CN"/>
            </w:rPr>
            <w:fldChar w:fldCharType="begin"/>
          </w:r>
          <w:r>
            <w:rPr>
              <w:rFonts w:hint="eastAsia" w:ascii="楷体" w:hAnsi="楷体" w:eastAsia="楷体" w:cs="楷体"/>
              <w:sz w:val="31"/>
              <w:szCs w:val="31"/>
              <w:lang w:val="en-US" w:eastAsia="zh-CN"/>
            </w:rPr>
            <w:instrText xml:space="preserve"> HYPERLINK \l _Toc12117 </w:instrText>
          </w:r>
          <w:r>
            <w:rPr>
              <w:rFonts w:hint="eastAsia" w:ascii="楷体" w:hAnsi="楷体" w:eastAsia="楷体" w:cs="楷体"/>
              <w:sz w:val="31"/>
              <w:szCs w:val="31"/>
              <w:lang w:val="en-US" w:eastAsia="zh-CN"/>
            </w:rPr>
            <w:fldChar w:fldCharType="separate"/>
          </w:r>
          <w:r>
            <w:rPr>
              <w:rFonts w:hint="eastAsia" w:ascii="楷体" w:hAnsi="楷体" w:eastAsia="楷体" w:cs="楷体"/>
              <w:sz w:val="31"/>
              <w:szCs w:val="31"/>
              <w:lang w:val="en-US" w:eastAsia="zh-CN"/>
            </w:rPr>
            <w:t>《整治形式主义为基层减负若干规定》</w:t>
          </w:r>
          <w:r>
            <w:rPr>
              <w:rFonts w:hint="eastAsia" w:ascii="楷体" w:hAnsi="楷体" w:eastAsia="楷体" w:cs="楷体"/>
              <w:sz w:val="31"/>
              <w:szCs w:val="31"/>
              <w:lang w:val="en-US" w:eastAsia="zh-CN"/>
            </w:rPr>
            <w:tab/>
          </w:r>
          <w:r>
            <w:rPr>
              <w:rFonts w:hint="eastAsia" w:ascii="楷体" w:hAnsi="楷体" w:eastAsia="楷体" w:cs="楷体"/>
              <w:sz w:val="31"/>
              <w:szCs w:val="31"/>
              <w:lang w:val="en-US" w:eastAsia="zh-CN"/>
            </w:rPr>
            <w:t>4</w:t>
          </w:r>
          <w:r>
            <w:rPr>
              <w:rFonts w:hint="eastAsia" w:ascii="楷体" w:hAnsi="楷体" w:eastAsia="楷体" w:cs="楷体"/>
              <w:sz w:val="31"/>
              <w:szCs w:val="31"/>
              <w:lang w:val="en-US" w:eastAsia="zh-CN"/>
            </w:rPr>
            <w:fldChar w:fldCharType="end"/>
          </w:r>
          <w:r>
            <w:rPr>
              <w:rFonts w:hint="eastAsia" w:ascii="楷体" w:hAnsi="楷体" w:eastAsia="楷体" w:cs="楷体"/>
              <w:sz w:val="31"/>
              <w:szCs w:val="31"/>
              <w:lang w:val="en-US" w:eastAsia="zh-CN"/>
            </w:rPr>
            <w:t>6</w:t>
          </w:r>
        </w:p>
        <w:p w14:paraId="2A936005">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lang w:val="en-US" w:eastAsia="zh-CN"/>
            </w:rPr>
          </w:pPr>
          <w:r>
            <w:rPr>
              <w:rFonts w:hint="eastAsia" w:ascii="楷体" w:hAnsi="楷体" w:eastAsia="楷体" w:cs="楷体"/>
              <w:sz w:val="31"/>
              <w:szCs w:val="31"/>
              <w:lang w:val="en-US" w:eastAsia="zh-CN"/>
            </w:rPr>
            <w:t>11.</w:t>
          </w:r>
          <w:r>
            <w:rPr>
              <w:rFonts w:hint="eastAsia" w:ascii="楷体" w:hAnsi="楷体" w:eastAsia="楷体" w:cs="楷体"/>
              <w:sz w:val="31"/>
              <w:szCs w:val="31"/>
              <w:lang w:val="en-US" w:eastAsia="zh-CN"/>
            </w:rPr>
            <w:fldChar w:fldCharType="begin"/>
          </w:r>
          <w:r>
            <w:rPr>
              <w:rFonts w:hint="eastAsia" w:ascii="楷体" w:hAnsi="楷体" w:eastAsia="楷体" w:cs="楷体"/>
              <w:sz w:val="31"/>
              <w:szCs w:val="31"/>
              <w:lang w:val="en-US" w:eastAsia="zh-CN"/>
            </w:rPr>
            <w:instrText xml:space="preserve"> HYPERLINK \l _Toc12117 </w:instrText>
          </w:r>
          <w:r>
            <w:rPr>
              <w:rFonts w:hint="eastAsia" w:ascii="楷体" w:hAnsi="楷体" w:eastAsia="楷体" w:cs="楷体"/>
              <w:sz w:val="31"/>
              <w:szCs w:val="31"/>
              <w:lang w:val="en-US" w:eastAsia="zh-CN"/>
            </w:rPr>
            <w:fldChar w:fldCharType="separate"/>
          </w:r>
          <w:r>
            <w:rPr>
              <w:rFonts w:hint="eastAsia" w:ascii="楷体" w:hAnsi="楷体" w:eastAsia="楷体" w:cs="楷体"/>
              <w:sz w:val="31"/>
              <w:szCs w:val="31"/>
              <w:lang w:val="en-US" w:eastAsia="zh-CN"/>
            </w:rPr>
            <w:t>中华人民共和国民法典</w:t>
          </w:r>
          <w:r>
            <w:rPr>
              <w:rFonts w:hint="eastAsia" w:ascii="楷体" w:hAnsi="楷体" w:eastAsia="楷体" w:cs="楷体"/>
              <w:sz w:val="31"/>
              <w:szCs w:val="31"/>
              <w:lang w:val="en-US" w:eastAsia="zh-CN"/>
            </w:rPr>
            <w:tab/>
          </w:r>
          <w:r>
            <w:rPr>
              <w:rFonts w:hint="eastAsia" w:ascii="楷体" w:hAnsi="楷体" w:eastAsia="楷体" w:cs="楷体"/>
              <w:sz w:val="31"/>
              <w:szCs w:val="31"/>
              <w:lang w:val="en-US" w:eastAsia="zh-CN"/>
            </w:rPr>
            <w:t>略</w:t>
          </w:r>
          <w:r>
            <w:rPr>
              <w:rFonts w:hint="eastAsia" w:ascii="楷体" w:hAnsi="楷体" w:eastAsia="楷体" w:cs="楷体"/>
              <w:sz w:val="31"/>
              <w:szCs w:val="31"/>
              <w:lang w:val="en-US" w:eastAsia="zh-CN"/>
            </w:rPr>
            <w:fldChar w:fldCharType="end"/>
          </w:r>
        </w:p>
        <w:p w14:paraId="6ECAF090">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360" w:lineRule="auto"/>
            <w:textAlignment w:val="baseline"/>
            <w:rPr>
              <w:rFonts w:hint="eastAsia" w:ascii="楷体" w:hAnsi="楷体" w:eastAsia="楷体" w:cs="楷体"/>
              <w:sz w:val="31"/>
              <w:szCs w:val="31"/>
              <w:lang w:val="en-US" w:eastAsia="zh-CN"/>
            </w:rPr>
          </w:pPr>
          <w:r>
            <w:rPr>
              <w:rFonts w:hint="eastAsia" w:ascii="楷体" w:hAnsi="楷体" w:eastAsia="楷体" w:cs="楷体"/>
              <w:sz w:val="31"/>
              <w:szCs w:val="31"/>
              <w:lang w:val="en-US" w:eastAsia="zh-CN"/>
            </w:rPr>
            <w:t>12.</w:t>
          </w:r>
          <w:r>
            <w:rPr>
              <w:rFonts w:hint="eastAsia" w:ascii="楷体" w:hAnsi="楷体" w:eastAsia="楷体" w:cs="楷体"/>
              <w:sz w:val="31"/>
              <w:szCs w:val="31"/>
              <w:lang w:val="en-US" w:eastAsia="zh-CN"/>
            </w:rPr>
            <w:fldChar w:fldCharType="begin"/>
          </w:r>
          <w:r>
            <w:rPr>
              <w:rFonts w:hint="eastAsia" w:ascii="楷体" w:hAnsi="楷体" w:eastAsia="楷体" w:cs="楷体"/>
              <w:sz w:val="31"/>
              <w:szCs w:val="31"/>
              <w:lang w:val="en-US" w:eastAsia="zh-CN"/>
            </w:rPr>
            <w:instrText xml:space="preserve"> HYPERLINK \l _Toc12117 </w:instrText>
          </w:r>
          <w:r>
            <w:rPr>
              <w:rFonts w:hint="eastAsia" w:ascii="楷体" w:hAnsi="楷体" w:eastAsia="楷体" w:cs="楷体"/>
              <w:sz w:val="31"/>
              <w:szCs w:val="31"/>
              <w:lang w:val="en-US" w:eastAsia="zh-CN"/>
            </w:rPr>
            <w:fldChar w:fldCharType="separate"/>
          </w:r>
          <w:r>
            <w:rPr>
              <w:rFonts w:hint="eastAsia" w:ascii="楷体" w:hAnsi="楷体" w:eastAsia="楷体" w:cs="楷体"/>
              <w:sz w:val="31"/>
              <w:szCs w:val="31"/>
              <w:lang w:val="en-US" w:eastAsia="zh-CN"/>
            </w:rPr>
            <w:t>中华人民共和国生态环境法典</w:t>
          </w:r>
          <w:r>
            <w:rPr>
              <w:rFonts w:hint="eastAsia" w:ascii="楷体" w:hAnsi="楷体" w:eastAsia="楷体" w:cs="楷体"/>
              <w:sz w:val="31"/>
              <w:szCs w:val="31"/>
              <w:lang w:val="en-US" w:eastAsia="zh-CN"/>
            </w:rPr>
            <w:tab/>
          </w:r>
          <w:r>
            <w:rPr>
              <w:rFonts w:hint="eastAsia" w:ascii="楷体" w:hAnsi="楷体" w:eastAsia="楷体" w:cs="楷体"/>
              <w:sz w:val="31"/>
              <w:szCs w:val="31"/>
              <w:lang w:val="en-US" w:eastAsia="zh-CN"/>
            </w:rPr>
            <w:t>略</w:t>
          </w:r>
          <w:r>
            <w:rPr>
              <w:rFonts w:hint="eastAsia" w:ascii="楷体" w:hAnsi="楷体" w:eastAsia="楷体" w:cs="楷体"/>
              <w:sz w:val="31"/>
              <w:szCs w:val="31"/>
              <w:lang w:val="en-US" w:eastAsia="zh-CN"/>
            </w:rPr>
            <w:fldChar w:fldCharType="end"/>
          </w:r>
        </w:p>
        <w:p w14:paraId="05A48954">
          <w:pPr>
            <w:rPr>
              <w:rFonts w:hint="eastAsia"/>
              <w:lang w:val="en-US" w:eastAsia="zh-CN"/>
            </w:rPr>
          </w:pPr>
        </w:p>
        <w:p w14:paraId="1BDCF272">
          <w:pPr>
            <w:pStyle w:val="6"/>
            <w:keepNext w:val="0"/>
            <w:keepLines w:val="0"/>
            <w:pageBreakBefore w:val="0"/>
            <w:widowControl/>
            <w:tabs>
              <w:tab w:val="right" w:leader="dot" w:pos="6895"/>
            </w:tabs>
            <w:kinsoku w:val="0"/>
            <w:wordWrap/>
            <w:overflowPunct/>
            <w:topLinePunct w:val="0"/>
            <w:autoSpaceDE w:val="0"/>
            <w:autoSpaceDN w:val="0"/>
            <w:bidi w:val="0"/>
            <w:adjustRightInd w:val="0"/>
            <w:snapToGrid w:val="0"/>
            <w:spacing w:line="240" w:lineRule="auto"/>
            <w:textAlignment w:val="baseline"/>
            <w:rPr>
              <w:rFonts w:hint="eastAsia" w:ascii="楷体" w:hAnsi="楷体" w:eastAsia="楷体" w:cs="楷体"/>
              <w:snapToGrid w:val="0"/>
              <w:color w:val="000000"/>
              <w:kern w:val="0"/>
              <w:sz w:val="31"/>
              <w:szCs w:val="31"/>
              <w:lang w:val="en-US" w:eastAsia="en-US" w:bidi="ar-SA"/>
            </w:rPr>
          </w:pPr>
        </w:p>
      </w:sdtContent>
    </w:sdt>
    <w:p w14:paraId="4F3DCEE5">
      <w:pPr>
        <w:spacing w:line="210" w:lineRule="auto"/>
        <w:rPr>
          <w:rFonts w:ascii="华文楷体" w:hAnsi="华文楷体" w:eastAsia="华文楷体" w:cs="华文楷体"/>
          <w:snapToGrid w:val="0"/>
          <w:color w:val="000000"/>
          <w:kern w:val="0"/>
          <w:sz w:val="21"/>
          <w:szCs w:val="31"/>
          <w:lang w:val="en-US" w:eastAsia="en-US" w:bidi="ar-SA"/>
        </w:rPr>
        <w:sectPr>
          <w:type w:val="continuous"/>
          <w:pgSz w:w="11907" w:h="16839"/>
          <w:pgMar w:top="1431" w:right="570" w:bottom="0" w:left="1432" w:header="0" w:footer="0" w:gutter="0"/>
          <w:pgNumType w:fmt="decimal"/>
          <w:cols w:equalWidth="0" w:num="2">
            <w:col w:w="2909" w:space="100"/>
            <w:col w:w="6895"/>
          </w:cols>
        </w:sectPr>
      </w:pPr>
      <w:r>
        <w:rPr>
          <w:rFonts w:hint="eastAsia" w:ascii="楷体" w:hAnsi="楷体" w:eastAsia="楷体" w:cs="楷体"/>
          <w:sz w:val="31"/>
          <w:szCs w:val="31"/>
        </w:rPr>
        <w:tab/>
      </w:r>
    </w:p>
    <w:p w14:paraId="646EC340">
      <w:pPr>
        <w:pStyle w:val="2"/>
        <w:bidi w:val="0"/>
      </w:pPr>
      <w:bookmarkStart w:id="0" w:name="bookmark19"/>
      <w:bookmarkEnd w:id="0"/>
      <w:bookmarkStart w:id="1" w:name="bookmark17"/>
      <w:bookmarkEnd w:id="1"/>
      <w:bookmarkStart w:id="2" w:name="bookmark5"/>
      <w:bookmarkEnd w:id="2"/>
      <w:bookmarkStart w:id="3" w:name="_Toc31326"/>
      <w:r>
        <w:rPr>
          <w:rFonts w:hint="eastAsia"/>
        </w:rPr>
        <w:t>习近平：在庆祝中国共产党成立105周年大会上的讲话</w:t>
      </w:r>
      <w:bookmarkEnd w:id="3"/>
    </w:p>
    <w:p w14:paraId="2FBC325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both"/>
        <w:textAlignment w:val="baseline"/>
        <w:rPr>
          <w:rFonts w:hint="default"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同志们，朋友们：</w:t>
      </w:r>
    </w:p>
    <w:p w14:paraId="6A0122C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今天，我们隆重集会，庆祝中国共产党成立105周年，回顾我们党走过的光辉历程，展望党和人民事业发展的光明前景，动员全党全国各族人民满怀信心朝着全面建成社会主义现代化强国、实现中华民族伟大复兴的宏伟目标奋勇前进。</w:t>
      </w:r>
    </w:p>
    <w:p w14:paraId="56A1ED3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首先，我代表党中央，向全体中国共产党员致以节日的问候！向“七一勋章”获得者，向受表彰的全国优秀共产党员、优秀党务工作者、先进基层党组织表示热烈的祝贺！</w:t>
      </w:r>
    </w:p>
    <w:p w14:paraId="7DF9087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同志们、朋友们！</w:t>
      </w:r>
    </w:p>
    <w:p w14:paraId="022914E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105年前，在中国人民和中华民族的伟大觉醒中，在马克思列宁主义同中国工人运动的紧密结合中，中国共产党应运而生。从此，中国人民和中华民族有了最可靠的主心骨，内忧外患、积贫积弱的中国开启了翻天覆地的历史巨变。</w:t>
      </w:r>
    </w:p>
    <w:p w14:paraId="6CE88D5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105年来，我们党始终坚守为中国人民谋幸福、为中华民族谋复兴的初心使命，深刻洞察世界发展大势，准确把握各个历史时期社会主要矛盾变化，团结带领全国各族人民不懈奋斗，创造了新民主主义革命、社会主义革命和建设、改革开放和社会主义现代化建设、新时代中国特色社会主义的伟大成就，书写了中华民族几千年历史上最恢宏的史诗。</w:t>
      </w:r>
    </w:p>
    <w:p w14:paraId="672B65B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105年不懈奋斗，从根本上改变了中国人民的前途命运。我们党领导人民经过波澜壮阔的伟大斗争，推翻帝国主义、封建主义、官僚资本主义三座大山，建立人民当家作主的新中国，彻底结束旧中国半殖民地半封建社会的历史，实现人民生活从温饱不足到总体小康再到全面小康的历史性跨越。今天，中国人民已经把命运牢牢掌握在自己手中，正以自信、自立、自强的姿态阔步迈向更加美好的未来。</w:t>
      </w:r>
    </w:p>
    <w:p w14:paraId="576CBEB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105年不懈奋斗，开辟了实现中华民族伟大复兴的正确道路。在革命、建设、改革和新时代的伟大实践中，我们党领导人民历尽千辛万苦，成功开辟和坚持了中国特色社会主义道路，仅用几十年时间就走完发达国家几百年走过的工业化历程，创造了经济快速发展和社会长期稳定两大奇迹。今天，中华民族伟大复兴势不可挡，展现出前所未有的光明前景。</w:t>
      </w:r>
    </w:p>
    <w:p w14:paraId="438067A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105年不懈奋斗，展示了马克思主义的强大生命力。我们党坚持把马克思主义基本原理同中国具体实际相结合、同中华优秀传统文化相结合，不断推进马克思主义中国化时代化，形成毛泽东思想、邓小平理论、“三个代表”重要思想、科学发展观、新时代中国特色社会主义思想，极大丰富和发展了马克思主义。今天，中国特色社会主义事业的蓬勃生机和旺盛活力，充分检验了马克思主义的科学性和真理性，充分展现了马克思主义的人民性和实践性，充分彰显了马克思主义的开放性和时代性。</w:t>
      </w:r>
    </w:p>
    <w:p w14:paraId="69120A5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105年不懈奋斗，深刻影响了世界历史进程。我们党始终站在历史正确一边、站在人类文明进步一边，以自强不息的奋斗深刻改变了世界发展的趋势和格局。今天，党领导人民推进中国式现代化，创造了人类文明新形态，拓展了发展中国家走向现代化的途径。我们推动构建人类命运共同体，为解决人类重大问题贡献了中国智慧、中国方案、中国力量。党领导的社会主义中国，被公认为世界和平的建设者、全球发展的贡献者、国际秩序的维护者。</w:t>
      </w:r>
    </w:p>
    <w:p w14:paraId="4E63C25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105年不懈奋斗，锻造了强大的中国共产党。我们党牢记马克思主义政党的性质宗旨和奋斗目标，大力弘扬伟大建党精神，历经磨难斗志弥坚，千锤百炼更加坚强。今天，我们党已经发展成为具有重大全球影响力的世界第一大执政党，得到人民衷心拥护和支持，是中国特色社会主义事业的坚强领导核心，完全无愧为伟大光荣正确的党。</w:t>
      </w:r>
    </w:p>
    <w:p w14:paraId="140CA66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同志们、朋友们！</w:t>
      </w:r>
    </w:p>
    <w:p w14:paraId="71BDFE9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105年来，我们取得的一切成就，是一代又一代中国共产党人团结带领中国人民不懈奋斗的结果。以毛泽东同志、邓小平同志、江泽民同志、胡锦涛同志为主要代表的中国共产党人，为中华民族伟大复兴建立了彪炳史册的伟大功勋！我们向他们表示崇高的敬意！</w:t>
      </w:r>
    </w:p>
    <w:p w14:paraId="1FC2521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此时此刻，我们深切怀念毛泽东、周恩来、刘少奇、朱德、邓小平、陈云同志等老一辈革命家和江泽民同志，深切怀念为民族独立、人民解放和国家富强、人民幸福前仆后继、牺牲奉献的革命先烈、仁人志士。他们为国家和民族建立的丰功伟绩永载史册！他们的崇高精神永远铭记在亿万人民心中！</w:t>
      </w:r>
    </w:p>
    <w:p w14:paraId="337844C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人民是历史的创造者，是真正的英雄。在这里，我代表党中央，向奋斗在各条战线的全国人民和各界人士，致以崇高的敬意！向香港特别行政区同胞、澳门特别行政区同胞、台湾同胞和海外侨胞，致以诚挚的问候！向一切同中国人民友好相处，关心支持中国革命、建设、改革事业的各国人民和朋友，致以衷心的谢意！</w:t>
      </w:r>
    </w:p>
    <w:p w14:paraId="62A4DA9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同志们、朋友们！</w:t>
      </w:r>
    </w:p>
    <w:p w14:paraId="1DDA116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中国共产党之所以能够在105年奋斗中不断铸就辉煌，历史和人民之所以选择中国共产党，根本在于我们党具有其他政党和政治力量无可比拟的优秀特质。</w:t>
      </w:r>
    </w:p>
    <w:p w14:paraId="40FB1D4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矢志追求真理，始终把准前进方向。我们党把马克思主义作为改造主观世界和客观世界的强大思想武器，坚持解放思想、实事求是、与时俱进、求真务实，注重在社会矛盾运动中揭示和运用真理，善于在实践中检验和发展真理，不断以新的理论指导新的实践，确保党和人民事业沿着正确方向前进。</w:t>
      </w:r>
    </w:p>
    <w:p w14:paraId="28C0F9A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深深植根人民，始终拥有坚实根基。我们党牢记江山就是人民、人民就是江山，坚持立党为公、执政为民，自觉践行全心全意为人民服务的根本宗旨，坚定地同人民站在一起、想在一起、干在一起，拥有任何风浪都动摇不了的坚实根基。</w:t>
      </w:r>
    </w:p>
    <w:p w14:paraId="1A860BA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勇担历史使命，始终掌握战略主动。我们党胸怀共产主义远大理想、立志于中华民族千秋伟业，坚定地把历史和人民赋予的重任扛在肩上，坚持长远目标和阶段目标相统一，适应社会主要矛盾变化确立中心任务，制定和实施正确的路线方针政策，确保牢牢掌握事业发展的领导权和主动权。</w:t>
      </w:r>
    </w:p>
    <w:p w14:paraId="7340683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顺应发展潮流，始终走在时代前列。我们党秉持高度的历史自觉和宽广的世界眼光，清醒把握中国国情和时代主题，积极识变应变求变，锐意开拓进取，推动党的各项工作体现时代性、把握规律性、富于创造性，引领国家和民族在历史前进的逻辑中前进、在时代发展的潮流中发展，成为当之无愧的时代先锋、民族脊梁。</w:t>
      </w:r>
    </w:p>
    <w:p w14:paraId="5FAE895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敢于善于斗争，始终保持必胜信心。我们党坚持和发扬不怕牺牲、英勇斗争的精神，为了人民、国家、民族，为了理想信念，披荆斩棘、砥砺前行，无论敌人如何强大、道路如何艰险、挑战如何严峻，总是毫不畏惧、绝不退缩，以任凭风雨来袭、我自岿然不动的钢铁意志鼓舞全国人民不断从胜利走向胜利。</w:t>
      </w:r>
    </w:p>
    <w:p w14:paraId="6FF2BF6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注重强健自身，始终充满生机活力。我们党清醒认识到打铁必须自身硬，善于以时代发展要求审视自己、以强烈忧患意识警醒自己、以自我革命精神完善自己，高度重视自身建设，坚决清除一切损害党的先进性和纯洁性的因素、清除一切侵蚀党的健康肌体的病毒，在革命性锻造中更加坚强有力。</w:t>
      </w:r>
    </w:p>
    <w:p w14:paraId="628B219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这些优秀特质，是中国共产党为什么能的关键密码。我们要结合新的实际，把党的优秀特质不断发扬光大，确保党永远不变质不变色不变味，始终具有强大创造力凝聚力战斗力。</w:t>
      </w:r>
    </w:p>
    <w:p w14:paraId="011C7EE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同志们、朋友们！</w:t>
      </w:r>
    </w:p>
    <w:p w14:paraId="047F211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“功崇惟志，业广惟勤。”实现新时代新征程党的使命任务，要求全体中国共产党人坚定信心、接续奋斗，不断创造无愧于时代和人民的新业绩。</w:t>
      </w:r>
    </w:p>
    <w:p w14:paraId="26CEBFD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坚定信心、接续奋斗，必须坚持党的基本理论、基本路线、基本方略。党的基本理论、基本路线、基本方略是党和人民经过艰辛探索取得的重大成果，是党和国家事业的根本遵循。新征程上，全党必须保持道不变、志不改的定力，坚持党的全面领导和党中央集中统一领导，深入贯彻新时代中国特色社会主义思想，坚定道路自信、理论自信、制度自信、文化自信，继往开来、守正创新，做到不畏浮云遮望眼、乘风破浪不迷航。</w:t>
      </w:r>
    </w:p>
    <w:p w14:paraId="14667C1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坚定信心、接续奋斗，必须紧紧依靠人民创造历史伟业。坚持和发展中国特色社会主义是全党全国各族人民共同的事业。新征程上，全党必须进一步提振干事创业的精气神，团结带领全国各族人民开拓进取，统筹推进“五位一体”总体布局、协调推进“四个全面”战略布局，完整准确全面贯彻新发展理念，加快构建新发展格局，扎实推动高质量发展。要践行以人民为中心的发展思想，发展全过程人民民主，不断巩固和发展各民族大团结、全国人民大团结、全体中华儿女大团结，充分激发亿万人民的积极性主动性创造性，凝聚起推进中国式现代化的磅礴力量。</w:t>
      </w:r>
    </w:p>
    <w:p w14:paraId="177C10E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坚定信心、接续奋斗，必须积极应对前进道路上的风险挑战。我国发展正处于战略机遇和风险挑战并存、不确定难预料因素增多的时期，需要时刻准备经受风高浪急甚至惊涛骇浪的重大考验。新征程上，全党必须强化忧患意识、坚持底线思维，发扬斗争精神、增强斗争本领，更好统筹国内国际两个大局，统筹发展和安全，提高科学预见变化、及时洞察风险、有效应对挑战的能力，确保中华复兴号巨轮劈波斩浪、行稳致远。</w:t>
      </w:r>
    </w:p>
    <w:p w14:paraId="5F1EB94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坚定信心、接续奋斗，必须持续推动构建人类命运共同体。随着百年变局加速演进，世界进入新的动荡变革期，人类又一次站在何去何从的十字路口。新征程上，我们要顺应人心所向、大势所趋，高举和平、发展、合作、共赢旗帜，弘扬全人类共同价值，推动构建新型国际关系，推动落实全球发展倡议、全球安全倡议、全球文明倡议、全球治理倡议，为世界和平与发展注入更多正能量。</w:t>
      </w:r>
    </w:p>
    <w:p w14:paraId="4E709D6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坚定信心、接续奋斗，必须持之以恒推进全面从严治党。全面从严治党永远在路上。新征程上，必须全面贯彻新时代党建思想，落实新时代党的建设总要求，着眼于提高党的长期执政能力、保持党的先进性和纯洁性、保持党同人民群众的血肉联系，健全全面从严治党体系，以党的政治建设为统领加强党的各方面建设，坚决打好反腐败斗争攻坚战持久战总体战，不断增强党的政治领导力、思想引领力、群众组织力、社会号召力，确保党在新时代坚持和发展中国特色社会主义的历史进程中始终成为坚强领导核心。</w:t>
      </w:r>
    </w:p>
    <w:p w14:paraId="59053AF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同志们、朋友们！</w:t>
      </w:r>
    </w:p>
    <w:p w14:paraId="02668CC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强国必须强军，军强才能国安。新征程上，必须全面贯彻新时代党的强军思想，贯彻新时代军事战略方针，坚持党对人民军队的绝对领导，坚定不移走中国特色强军之路，全面推进政治建军、改革强军、科技强军、人才强军、依法治军，高质量推进国防和军队现代化，如期实现建军一百年奋斗目标，加快把人民军队建成世界一流军队，坚决捍卫国家主权、安全、发展利益，为维护世界和平与发展作出更大贡献。</w:t>
      </w:r>
    </w:p>
    <w:p w14:paraId="707538D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促进香港、澳门长期繁荣稳定，是中华民族伟大复兴的内在要求。新征程上，我们要全面准确、坚定不移贯彻“一国两制”、“港人治港”、“澳人治澳”、高度自治的方针，落实“爱国者治港”、“爱国者治澳”原则，提升港澳依法治理效能，促进港澳经济社会发展，支持港澳更好融入和服务国家发展大局。</w:t>
      </w:r>
    </w:p>
    <w:p w14:paraId="0661880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解决台湾问题、实现祖国完全统一，是我们党矢志不渝的历史任务，是全体中华儿女的共同愿望。我们要深入贯彻新时代党解决台湾问题的总体方略，坚持一个中国原则和“九二共识”，团结广大台湾同胞，深化两岸交流合作和融合发展，坚决打击“台独”分裂势力，反对外部势力干涉，坚定推进祖国统一大业。</w:t>
      </w:r>
    </w:p>
    <w:p w14:paraId="436656B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同志们、朋友们！</w:t>
      </w:r>
    </w:p>
    <w:p w14:paraId="5B561B5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青年是实现中华民族伟大复兴的生力军。全党要重视青年、关心青年、支持青年，为青年成长成才创造条件。新时代中国青年要坚定不移听党话、跟党走，树立远大志向，勇担时代重任，把个人追求融入党和国家事业，只争朝夕、不负韶华，在新征程上跑好历史接力赛，用青春铺路、让理想闪光！</w:t>
      </w:r>
    </w:p>
    <w:p w14:paraId="3CA02BE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同志们、朋友们！</w:t>
      </w:r>
    </w:p>
    <w:p w14:paraId="23583E0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国共产党105年的辉煌历史令人自豪，但我们决不能骄傲自满、止步不前。到本世纪中叶，我们要全面建成社会主义现代化强国、实现第二个百年奋斗目标。时间不等人！历史不等人！全党同志务必不忘初心、牢记使命，务必谦虚谨慎、艰苦奋斗，务必敢于斗争、善于斗争，紧紧依靠和团结带领全国各族人民奋进新征程、建功新时代，奋力创造新的历史辉煌！</w:t>
      </w:r>
    </w:p>
    <w:p w14:paraId="075CF2E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DFA719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119DE1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2E43D7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346410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E91FEA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F62525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84FAB1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6A0936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977866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DB26BB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897412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703FAC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7F6B7E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AEFD644">
      <w:pPr>
        <w:pStyle w:val="2"/>
        <w:bidi w:val="0"/>
      </w:pPr>
      <w:bookmarkStart w:id="4" w:name="_Toc331"/>
      <w:r>
        <w:rPr>
          <w:rFonts w:hint="eastAsia"/>
        </w:rPr>
        <w:t>习近平：做焦裕禄式的县委书记</w:t>
      </w:r>
      <w:bookmarkEnd w:id="4"/>
    </w:p>
    <w:p w14:paraId="5BDEA2B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0" w:firstLineChars="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同志们：</w:t>
      </w:r>
    </w:p>
    <w:p w14:paraId="726B8B2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很高兴同大家座谈。我很关注县一级工作。中组部报告说，你们正在中央党校学习，希望我能见见大家。我说，要见面，还要坐下来谈谈，听听大家的学习心得和想法。大家来自改革发展稳定第一线，对真实情况比较了解，谈谈肯定有好处。</w:t>
      </w:r>
    </w:p>
    <w:p w14:paraId="7EFDD77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元旦刚刚过去，我先祝大家新年好，也祝全国县委书记和在县里工作的广大党员、干部新年好！大家辛苦了！</w:t>
      </w:r>
    </w:p>
    <w:p w14:paraId="03FE410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党中央决定举办县委书记研修班，用3年多时间在中央党校把全国2800多名县（市、区、旗）委书记轮训一遍。这是一项着眼长远的战略举措。主要目的是帮助县委书记深入学习贯彻党的十八大和十八届三中、四中全会精神，学习中国特色社会主义理论体系，研究县域经济社会发展和党的建设方面的理论和现实问题，用党的理论创新最新成果武装头脑、指导实践、推动工作，培养造就一支高素质县委书记队伍。</w:t>
      </w:r>
    </w:p>
    <w:p w14:paraId="7FD1022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我对县一级职能、运转和县委书记的角色有亲身感悟，刚才听了6位同志的发言，很有感触，脑海里不断浮现我当县委书记时的画面，仿佛回到了30多年前。我同大家的感受是一样的，就是县委书记这个岗位很重要，官不大，责任不小、压力不小，这个官不好当。</w:t>
      </w:r>
    </w:p>
    <w:p w14:paraId="0ECC452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在我们党的组织结构和国家政权结构中，县一级处在承上启下的关键环节，是发展经济、保障民生、维护稳定、促进国家长治久安的重要基础。古人讲，郡县治，天下安。我国县的建制始于春秋时期，因秦代推进郡县制而得到巩固和发展。2000多年来，县一直是我国国家结构的基本单元，稳定存在至今。</w:t>
      </w:r>
    </w:p>
    <w:p w14:paraId="4770222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历朝历代都高度重视县级官员选拔任用。古人早就总结出“宰相起于州部，猛将发于卒伍”这一历史现象。历史上，许多名人志士为官从政是从县一级起步的。北宋政治家王安石，27岁担任浙江鄞县（今宁波市鄞州区）知县，任职3年，“治绩大举，民称其德”，为以后革新变法打下了基础。清代郑板桥长期在山东范县（今属河南）、潍县（今属山东潍坊）担任知县，其诗句“衙斋卧听萧萧竹，疑是民间疾苦声。些小吾曹州县吏，一枝一叶总关情”千古流传。陶渊明、狄仁杰、包拯、海瑞等很多人都当过县令、知县。</w:t>
      </w:r>
    </w:p>
    <w:p w14:paraId="6E1FF1A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个县就是一个基本完整的社会，“麻雀虽小，五脏俱全”。现在，县级政权所承担的责任越来越大，需要办的事情越来越多，尤其是在全面建成小康社会、全面深化改革、全面依法治国、全面从严治党进程中起着重要作用。县委书记在干部序列中说起来级别不高，但地位特殊。邓小平同志曾经说：“当好一个县委书记并不容易，要有全面的领导经验，对东西南北中、党政军民学各方面的工作都能抓得起来。”“特别要抓好县委一级，建立一个强有力的县委可是重要啊！军队是团，地方是县，为什么总讲县、团级呀，就是这个道理。”海瑞说：“官之至难者，令也。”说的就是县官难做。</w:t>
      </w:r>
    </w:p>
    <w:p w14:paraId="432428D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怎样才能当好县委书记？有的同志在发言中谈到了，要做政治坚定的明白人、绿色发展的铺路石、体察民情的大脚掌、地方团队的领头雁、作风建设的打铁匠，归纳得很好。我一直认为，焦裕禄同志为县委书记树立了榜样。我多次去过兰考县，去年第二批党的群众路线教育实践活动中又去了两次。每每踏上兰考的土地，我的心情都很激动。焦裕禄同志以自己的实际行动塑造了一个优秀共产党员和优秀县委书记的光辉形象。做县委书记，就要做焦裕禄式的县委书记。</w:t>
      </w:r>
    </w:p>
    <w:p w14:paraId="6D6BCCC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怎样做焦裕禄式的县委书记？有很多角度可以谈，今天，我想从心中有党、心中有民、心中有责、心中有戒4个方面来谈谈这个问题。</w:t>
      </w:r>
    </w:p>
    <w:p w14:paraId="197D8D6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一、当好县委书记，必须始终做到心中有党</w:t>
      </w:r>
    </w:p>
    <w:p w14:paraId="20E3FAE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县委是我们党执政兴国的“一线指挥部”，县委书记就是“一线总指挥”。对党忠诚，是县委书记的重要标准。衡量一个县委书记当得怎么样，可以讲很多条，但主要看这一条。“善莫大于作忠。”</w:t>
      </w:r>
    </w:p>
    <w:p w14:paraId="25A7503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我们县委书记队伍总体是好的，绝大多数同志是值得信赖的。这一点必须明确。同时，也要看到，在县委书记这个岗位上，面临的考验很多很严峻，有改革发展稳定繁重工作的考验，有保障和改善民生突出问题的考验，有形形色色错误思潮的考验，有权力、金钱、美色的考验，有庸俗风气、潜规则的考验，如此等等。特别值得注意的是，县委书记手中掌握着很大权力，所以各种诱惑、算计都冲着你来，各种讨好、捧杀都对着你去，往往会成为“围猎”的对象。很多县远离中心城市，容易让人有“山高皇帝远”的念头，上级监督鞭长莫及。在这样的环境下工作，如果没有对党忠诚作政治上的“定海神针”，就很可能在各种考验面前败下阵来。</w:t>
      </w:r>
    </w:p>
    <w:p w14:paraId="632522A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县一级阵地，必须由心中有党、对党忠诚的人坚守。当县委书记，要记住自己是中国共产党的县委书记，是党派你在这里当县委书记的。这个道理很简单，但要时刻牢记于心就不那么简单了。要把牢政治方向，强化组织意识，时刻想到自己是党的人，时刻不忘自己对党应尽的义务和责任，相信组织、依靠组织、服从组织，自觉维护党的团结统一。</w:t>
      </w:r>
    </w:p>
    <w:p w14:paraId="6A4C292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只有理想信念坚定，心中有党、对党忠诚才能有牢固思想基础。理想信念动摇了，那是不可能心中有党的。大家要把学习掌握马克思主义理论作为看家本领，深入学习马克思列宁主义、毛泽东思想，深入学习邓小平理论、“三个代表”重要思想、科学发展观，深入学习十八大以来党的理论创新成果，不断领悟，不断参透，做到学有所得、思有所悟，注重解决好世界观、人生观、价值观这个“总开关”问题，真正做到对马克思主义虔诚而执着、至信而深厚。</w:t>
      </w:r>
    </w:p>
    <w:p w14:paraId="7056C8E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共产主义决不是“土豆烧牛肉”那么简单，不可能唾手可得、一蹴而就，但我们不能因为实现共产主义理想是一个漫长的过程，就认为那是虚无缥缈的海市蜃楼，就不去做一个忠诚的共产党员。革命理想高于天。实现共产主义是我们共产党人的最高理想，而这个最高理想是需要一代又一代人接力奋斗的。如果大家都觉得这是看不见摸不着的东西，没有必要为之奋斗和牺牲，那共产主义就真的永远实现不了了。我们现在坚持和发展中国特色社会主义，就是向着最高理想所进行的实实在在努力。</w:t>
      </w:r>
    </w:p>
    <w:p w14:paraId="7B987E4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虽然国家发展水平和人民生活水平还不高，发展过程中还存在很多问题，大家在县委书记岗位上可能看到和遇到很多很现实的矛盾和问题，但我们一定要有一个基本立场，就是对中国特色社会主义要保持必胜信念，在涉及中国特色社会主义道路、理论、制度等重大原则问题上必须立场坚定、态度坚决。作为“一线总指挥”的县委书记们坚定了、沉着了，朝着大目标共同努力了，阵地才守得住，战斗才能打得赢，理想才能不断变为现实。</w:t>
      </w:r>
    </w:p>
    <w:p w14:paraId="14C82FB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心中有党，是具体的而不是抽象的。作为党的干部，不论在什么地方、在哪个岗位上工作，都要增强党性立场和政治意识，经得起风浪考验，不能在政治方向上走岔了、走偏了。要严守政治纪律，在政治方向、政治立场、政治言论、政治行为方面守好规矩，自觉坚持党的领导，自觉同党中央保持高度一致，自觉维护党中央权威。党中央提倡的坚决响应，党中央决定的坚决照办，党中央禁止的坚决杜绝，决不允许上有政策、下有对策，决不允许有令不行、有禁不止，决不允许在贯彻执行中央决策部署上打折扣。只要出现这种问题，大家就要坚决纠正。</w:t>
      </w:r>
    </w:p>
    <w:p w14:paraId="5DCB7E1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二、当好县委书记，必须始终做到心中有民</w:t>
      </w:r>
    </w:p>
    <w:p w14:paraId="4DAEAF4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全心全意为人民服务是我们党的根本宗旨。县委书记是直接面对基层群众的领导干部，必须心系群众、为民造福。大家心中要始终装着老百姓，先天下之忧而忧，后天下之乐而乐，做到不谋私利、克己奉公。对个人的名誉、地位、利益，要想得透、看得淡，自觉打掉心里的小算盘。要着力解决好人民最关心最直接最现实的利益问题，特别是要下大气力解决好人民不满意的问题，多做雪中送炭的事情。现在，距实现全面建成小康社会的第一个百年奋斗目标只有五六年了，但困难地区、困难群众还为数不少，必须时不我待地抓好扶贫开发工作，决不能让困难地区和困难群众掉队。党和国家要把抓好扶贫开发工作作为重大任务，贫困地区各级领导干部更要心无旁骛、聚精会神抓好这项工作，团结带领广大群众通过顽强奋斗早日改变面貌。“当官不为民作主，不如回家卖红薯”，说的就是这个道理。我经常提到五六十年代福建东山县县委书记谷文昌，他一心一意为老百姓办事，当地老百姓逢年过节是“先祭谷公，后拜祖宗”。</w:t>
      </w:r>
    </w:p>
    <w:p w14:paraId="2F7023F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在县委书记这个岗位上，很多人都想干一番事业，这种想法和干劲是必须有的。我当年到了正定，看到老百姓生活比较贫困、经济社会发展水平比较落后的情形，心里很着急，的确有一股激情、一种志向，想尽快改变这种面貌。但是，干事创业一定要树立正确政绩观，做到“民之所好好之，民之所恶恶之”。要求真务实、真抓实干，做工作自觉从人民利益出发，决不能为了树立个人形象，搞华而不实、劳民伤财的“形象工程”、“政绩工程”。</w:t>
      </w:r>
    </w:p>
    <w:p w14:paraId="39AAF6A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不同的县有着不同的资源和禀赋，要把调查研究作为基本功，深入基层、深入群众、深入实际，了解情况、问计于民。我说过，当县委书记一定要跑遍所有的村，当市委书记一定要跑遍所有的乡镇，当省委书记一定要跑遍所有的县市区。我在正定时经常骑着自行车下乡，从滹沱河北岸到滹沱河以南的公社去，每次骑到滹沱河沙滩就得扛着自行车走。虽然辛苦一点，但确实摸清了情况，同基层干部和老百姓拉近了距离、增进了感情。情况搞清楚了，就要坚持从实际出发谋划事业和工作，使想出来的点子、举措、方案符合实际情况，不好高骛远，不脱离实际。重要决策方案，特别是涉及群众切身利益的重要政策措施，要广泛听取群众意见，不能嫌麻烦、图省事。</w:t>
      </w:r>
    </w:p>
    <w:p w14:paraId="494CEE5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做到心中有民，必须树立良好作风。在县一级这个层面，县委书记对一方党风政风具有示范作用。老百姓看党，最集中的是看县委一班人特别是县委书记。县委书记作风不好，党在当地群众心目中的形象就会大打折扣。大家要按照中央要求，继续把作风建设抓好、把群众路线教育实践活动成果巩固好，做到勤政、务实、为民，自觉抵制和纠正“四风”问题。</w:t>
      </w:r>
    </w:p>
    <w:p w14:paraId="5FE6ADD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三、当好县委书记，必须始终做到心中有责</w:t>
      </w:r>
    </w:p>
    <w:p w14:paraId="1AC7571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为官避事平生耻。”干部就要有担当，有多大担当才能干多大事业，尽多大责任才会有多大成就。不能只想当官不想干事，只想揽权不想担责，只想出彩不想出力。县一级领导要谋几十万、上百万人的改革发展稳定大计，管千头万绪的事务，这个舞台足够大，刚才你们也说到了，是“芝麻官”千钧担。党把干部放在这样一个岗位上是信任，是重托，要意气风发、满腔热情干好，为官一任、造福一方。不能干一年、两年、三年还是涛声依旧，全县发展面貌没有变化，每年都是重复昨天的故事。</w:t>
      </w:r>
    </w:p>
    <w:p w14:paraId="0738835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责任就意味着尽心尽责干事。对定下来的工作部署，要一抓到底、善始善终，坚决防止走过场、一阵风。县委书记多数任职就几年，不能有临时工的思想。有的人到了县委书记岗位上，想的是反正干不长，不如弄点大动静出来，也好显示自己的能耐和政绩，为自己晋升提拔铺路。这样的观点要不得。一个县里，规划几年一变，蓝图几年一画，干不成什么事。要有“功成不必在我”的境界，一张好的蓝图，只要是科学的、切合实际的、符合人民愿望的，就要像接力赛一样，一棒一棒接着干下去。山西右玉县地处毛乌素沙漠的天然风口地带，是一片风沙成患、山川贫瘠的不毛之地。新中国成立之初，第一任县委书记带领全县人民开始治沙造林。60多年来，一张蓝图、一个目标，县委一任接着一任、一届接着一届率领全县干部群众坚持不懈干，使绿化率由当年的0.3%上升到现在的53%，把“不毛之地”变成了“塞上绿洲”。抓任何工作，都要有这种久久为功、利在长远的耐心和耐力。</w:t>
      </w:r>
    </w:p>
    <w:p w14:paraId="597B125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事业成功的原因很多，奋发有为是主要因素。我们大多数领导干部能够做到责任在心、担当在肩，但的确也有一些领导干部不思进取、为官不为，抱着“当一天和尚撞一天钟”的心态，只要不出事，宁愿不做事，满足于做四平八稳的“太平官”。这种认识是错误的。面对工作难题，要有明知山有虎、偏向虎山行的劲头，积极寻找克服困难的具体对策，豁得出来、顶得上去，真正成为带领人民群众战风险、渡难关的主心骨。</w:t>
      </w:r>
    </w:p>
    <w:p w14:paraId="0F5D355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现在，我国经济发展进入新常态，保持经济社会持续健康发展，必须转方式、调结构，必须实施创新驱动发展战略，必须推动新型工业化、信息化、城镇化、农业现代化同步发展。做好这些工作，县一级十分重要。这些工作怎么做？做什么？要开动脑筋、深入思考、积极推动。全面深化改革，县一级要做什么事，能做什么事，要不等待、不观望，坚持问题导向，积极主动作为。县一级处于社会矛盾的前沿，县委书记处在维稳第一线，一定要履行好责任。前些年，瓮安、孟连、陇南等事件说明，突出矛盾和突发事件背后都存在复杂的利益冲突，都存在干部作风问题，也都存在工作上处置不当的问题。对突出矛盾要有责任意识，主动去解决而不是回避推卸，努力做到发现在早、处置在小。对突发事件要临危不惧、沉着冷静、敢于负责，关键时刻要亲临现场、靠前指挥、果断处置。</w:t>
      </w:r>
    </w:p>
    <w:p w14:paraId="60FE829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四、当好县委书记，必须始终做到心中有戒</w:t>
      </w:r>
    </w:p>
    <w:p w14:paraId="2843802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我们的权力是党和人民赋予的，是为党和人民做事用的，姓公不姓私，只能用来为党分忧、为国干事、为民谋利。要正确行使权力，依法用权、秉公用权、廉洁用权，做到法定职权必须为，法无授权不可为，保持如临深渊、如履薄冰的谨慎，做到心有所畏、言有所戒、行有所止，处理好公和私、情和法、利和法的关系。</w:t>
      </w:r>
    </w:p>
    <w:p w14:paraId="123A2C8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县委书记是一班之长，要带头执行民主集中制，不把“班长”当成“家长”。要按照程序进行决策，特别是涉及资金、项目、用人等重大问题，要经过集体研究，不搞个人专权。要善于把党委一班人、几大家班子和各级干部智慧集中起来，做到总揽不包揽、分工不分家、放手不撒手。要有胸怀，能容人容事，注意听取班子成员意见，带头增进和维护县委班子团结。当然，讲团结不是要搞一团和气，讲和谐不是要“和稀泥”。在大是大非问题上，要有正确立场和鲜明态度，敢于站出来说话，敢于表明自己的态度。</w:t>
      </w:r>
    </w:p>
    <w:p w14:paraId="7475B59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党的十八届四中全会提出要全面推进依法治国，建设社会主义法治国家。依法治国的根基在基层。县委书记要做学法尊法守法用法的模范，善于运用法治思维谋划县域治理。要牢记法律红线不可逾越、法律底线不可触碰，作决策、开展工作多想一想是否合法、是否可行，多想一想法律的依据、法定的程序、违法的后果，自觉当依法治国的推动者、守护者。</w:t>
      </w:r>
    </w:p>
    <w:p w14:paraId="68566F3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廉洁自律是共产党人为官从政的底线。我经常讲，鱼和熊掌不可兼得，当官发财两条道，当官就不要发财，发财就不要当官。要始终严格要求自己，把好权力关、金钱关、美色关，做到清清白白做人、干干净净做事、坦坦荡荡为官。要加强对亲属和身边工作人员的教育和约束，要求他们守德、守纪、守法。焦裕禄同志曾经亲自起草了《干部十不准》，规定干部在任何时候都不搞特殊化。他得知儿子“看白戏”，立即拿出钱叫儿子到戏院补票。被康熙誉为“天下清官第一”的张伯行曾经说过：“一丝一粒，我之名节；一厘一毫，民之脂膏。宽一分，民受赐不止一分；取一文，我为人不值一文。”这些廉政箴言，至今都没有过时，大家要努力学习。</w:t>
      </w:r>
    </w:p>
    <w:p w14:paraId="4A81ABF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县委书记作为县里的权力人物和公众人物，要注意道德操守，道德上失足有时比某些工作失误杀伤力还要大。我国古代就要求县令“导扬风化”。要自觉弘扬和践行社会主义核心价值观，加强道德修养，追求健康情趣，慎重对待朋友交往，时刻检点自己生活的方方面面，引导全县形成健康向上的社会风尚。要不断体会和弘扬先人传承下来的传统美德，如“大道之行也，天下为公”、“不义而富且贵，于我如浮云”、“君子喻于义”、“言必信，行必果”、“德不孤，必有邻”、“人而无信，不知其可也”，等等，为为人处世、安身立命提供重要启示。</w:t>
      </w:r>
    </w:p>
    <w:p w14:paraId="30D85F7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同志们，再过几天，你们这期县委书记研修班就要结束了。希望大家学以致用、用有所成，努力把本地区的工作做得更好。最后，祝同志们工作顺利、身体健康、阖家幸福！</w:t>
      </w:r>
    </w:p>
    <w:p w14:paraId="3771652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※这是习近平总书记2015年1月12日在中央党校县委书记研修班学员座谈会上的讲话。</w:t>
      </w:r>
    </w:p>
    <w:p w14:paraId="00772EA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9F4A51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C2A088B">
      <w:pPr>
        <w:pStyle w:val="2"/>
        <w:bidi w:val="0"/>
      </w:pPr>
      <w:bookmarkStart w:id="5" w:name="_Toc31667"/>
      <w:r>
        <w:rPr>
          <w:rFonts w:hint="eastAsia"/>
        </w:rPr>
        <w:t>习近平对防汛救灾工作作出重要指示</w:t>
      </w:r>
      <w:bookmarkEnd w:id="5"/>
    </w:p>
    <w:p w14:paraId="1B6C6BC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中共中央总书记、国家主席、中央军委主席习近平对防汛救灾工作作出重要指示。</w:t>
      </w:r>
    </w:p>
    <w:p w14:paraId="280F387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指出，近日，广西、湖北、甘肃等地因降雨大风天气，接连发生水库溃坝、山体滑坡等灾情，造成重大人员伤亡和经济损失。要全力组织抢险救援、伤员救治、群众安置等工作，最大限度减少人员伤亡，防范次生灾害。</w:t>
      </w:r>
    </w:p>
    <w:p w14:paraId="3CEA7CA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强调，当前防汛形势严峻复杂，各地各有关部门要抓好既定部署措施落实，坚决克服麻痹思想和侥幸心理，盯紧压实防灾救灾责任，深入开展江河湖泊、病险水库、地质灾害易发区等风险隐患排查整治，强化监测预警和应急救援准备，扎实做好防灾救灾各项工作，确保人民群众生命财产安全。</w:t>
      </w:r>
    </w:p>
    <w:p w14:paraId="43697B5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共中央政治局常委、国务院总理李强作出批示指出，近期极端天气多发，国家防办、国家防减救灾办要指导各地密切关注雨情汛情，加强险情监测预警，全力开展抢险救援，深入排查灾害风险隐患，落实落细各项防汛救灾措施，严防发生重大次生灾害。</w:t>
      </w:r>
    </w:p>
    <w:p w14:paraId="4EF1891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31DF0E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A6F9A5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335D2F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79A72F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3F74BE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B7648BD">
      <w:pPr>
        <w:pStyle w:val="2"/>
        <w:bidi w:val="0"/>
      </w:pPr>
      <w:bookmarkStart w:id="6" w:name="_Toc542"/>
      <w:r>
        <w:rPr>
          <w:lang w:val="en-US" w:eastAsia="zh-CN"/>
        </w:rPr>
        <w:t>习近平出席国家科学技术奖励大会两院院士大会中国科协第十一次全国代表大会并发表重要讲话</w:t>
      </w:r>
      <w:bookmarkEnd w:id="6"/>
    </w:p>
    <w:p w14:paraId="4134352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新华社北京7月8日电国家科学技术奖励大会、中国科学院第二十二次院士大会和中国工程院第十八次院士大会、中国科学技术协会第十一次全国代表大会8日上午在人民大会堂隆重召开。中共中央总书记、国家主席、中央军委主席习近平出席大会，为国家最高科学技术奖获得者等颁奖并发表重要讲话。他强调，“十五五”时期是科技强国建设的关键攻坚期。必须抓住历史机遇，迎接时代挑战，加快推进高水平科技自立自强，向着到2035年建成科技强国的目标坚定迈进，扎扎实实以科技创新支撑和引领中国式现代化。</w:t>
      </w:r>
    </w:p>
    <w:p w14:paraId="2D21C6B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李强主持大会，赵乐际、王沪宁、蔡奇、李希出席大会，丁薛祥宣读奖励决定。</w:t>
      </w:r>
    </w:p>
    <w:p w14:paraId="3F2F41D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上午10时30分，大会开始，全场起立，高唱国歌。</w:t>
      </w:r>
    </w:p>
    <w:p w14:paraId="626E9E2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丁薛祥宣读《中共中央、国务院关于2025年度国家科学技术奖励的决定》。</w:t>
      </w:r>
    </w:p>
    <w:p w14:paraId="7B24D64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仪式号角响起，习近平首先向获得2025年度国家最高科学技术奖的中国科学院物理研究所陈立泉院士和中国电子科技集团第十四研究所贲德院士颁发奖章、证书，同他们热情握手表示祝贺。随后，习近平等党和国家领导人同两位最高奖获得者一道，为获得国家自然科学奖、国家技术发明奖、国家科学技术进步奖和中华人民共和国国际科学技术合作奖的代表颁发证书。</w:t>
      </w:r>
    </w:p>
    <w:p w14:paraId="5B5EDE0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在热烈的掌声中，习近平发表重要讲话。他指出，党的十八大以来，党中央把科技创新摆在现代化建设突出位置，系统擘画科技强国建设蓝图，深入推动实施创新驱动发展战略，全面深化科技体制改革，推动科技事业取得历史性成就、发生历史性变革。我国正从全球科技参与者、贡献者向开拓者、引领者加速转变，成为创新力上升最快的国家之一。</w:t>
      </w:r>
    </w:p>
    <w:p w14:paraId="543E10A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强调，新一轮科技革命和产业变革深刻改变人类生产生活方式和世界发展格局。我们要适应新形势新要求，采取更加有力的措施，切实解决我国科技发展中存在的问题，全力抓好党中央关于科技事业各项部署的落实。</w:t>
      </w:r>
    </w:p>
    <w:p w14:paraId="1E05B28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指出，要增强科技创新体系化攻关能力，提升国家创新体系整体效能。坚持“四个面向”战略导向，进一步加强科技战略规划、政策措施、重大任务、科研力量、资源平台、区域创新等方面统筹。完善国家重大科技创新任务部署和组织实施机制，强化科研基础条件自主保障。优化国家战略科技力量功能定位和布局，推动任务协同、资源共享、优势互补。加强对各层级科技工作的统筹指导，形成央地协同、区域联动的制度安排。</w:t>
      </w:r>
    </w:p>
    <w:p w14:paraId="766310D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强调，要推动科技创新和产业创新深度融合，打通科技加速向现实生产力转化的通道。科技创新要突出应用导向，产业创新要提出科学问题。加强国家技术转移体系建设，打造多元化应用场景和高水平产业集群，促进自主研发技术产品推广应用和迭代升级。完善知识产权保护制度。构建同科技创新相适应的科技金融体制。</w:t>
      </w:r>
    </w:p>
    <w:p w14:paraId="7646E9F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指出，科学的未来在青年，要优化科教协同育人机制，大力培养优秀青年科技人才。加大对科研人员支持力度，帮助解决实际困难，让他们潜心钻研、安身安心安业。注重挖掘和培养青少年兴趣特长、科学素养、实验能力，吸引更多具有科研潜质的青少年立志投身科技事业。</w:t>
      </w:r>
    </w:p>
    <w:p w14:paraId="57812C6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强调，要提高科技创新投入效能，实现投入规模增加与效能提升的统一。完善中央财政科技经费分配和管理使用机制，健全重大科技任务央地投入共担机制。改进科技计划管理，加强科技项目监督检查和绩效评估。引导企业增加研发投入，调动更多社会力量支持科技创新。</w:t>
      </w:r>
    </w:p>
    <w:p w14:paraId="314106E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指出，要深化科技评价改革，用好科技评价指挥棒。项目评审、机构评估、人才评价都要强化创新能力、质量、实效、贡献导向。加快“破四唯”，持续深化科教界“帽子”治理。大力弘扬科学家精神，加强科研诚信建设，营造风清气正的科研生态。</w:t>
      </w:r>
    </w:p>
    <w:p w14:paraId="47772E3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强调，要加强科技伦理和安全治理，推动科技向上向善、安全可控、造福人民。完善政策制度、法律法规和治理规范，健全多方参与、协同共治的体制机制。明确重点领域伦理标准和指引，加强科技安全风险研判、监测预警和应急响应。深度参与全球科技治理，广泛宣介中国主张和中国方案。</w:t>
      </w:r>
    </w:p>
    <w:p w14:paraId="3B16A4C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指出，推动我国科技事业欣欣向荣，需要全党全社会共同努力。各级党委和政府要把科技工作摆上重要日程，树立和践行正确政绩观，真抓实干，久久为功，不断抓出新成效。中国科学院、中国工程院要团结全国科技界把握新一轮科技革命方向，勇攀世界科学高峰。中国科协要坚持探索创新，尽心尽力为科技工作者服务、为创新驱动发展服务、为提高全民科学素质服务、为党和政府科学决策服务。</w:t>
      </w:r>
    </w:p>
    <w:p w14:paraId="6B99E84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表示，希望两院院士珍视荣誉、不懈奋斗，在开拓科技前沿、担纲重大任务、培育青年人才、践行科学家精神方面发挥示范引领作用。希望广大科技工作者发扬服务国家、造福人民的优良传统，为建设科技强国多立新功。</w:t>
      </w:r>
    </w:p>
    <w:p w14:paraId="08FABC9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李强在主持大会时指出，习近平总书记的重要讲话，充分肯定了近年来我国科技事业取得的重大成就，深刻分析了科技发展面临的新形势，就进一步增强责任感紧迫感使命感、全力抓好党中央关于“十五五”时期科技事业各项部署的落实提出了明确要求。习近平总书记的重要讲话高屋建瓴、思想深邃、内涵丰富，具有很强的政治性、战略性、指导性，为做好新时代科技工作指明了前进方向、提供了根本遵循。我们要深入学习领会，坚决贯彻落实，切实把思想和行动统一到党中央决策部署上来，进一步增强做好科技工作的决心和信心，为以中国式现代化全面推进强国建设、民族复兴伟业作出新的更大贡献。</w:t>
      </w:r>
    </w:p>
    <w:p w14:paraId="0EFFC22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会上，陈立泉和贲德代表全体获奖人员发言。</w:t>
      </w:r>
    </w:p>
    <w:p w14:paraId="76716C0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会前，习近平等领导同志亲切会见了国家科学技术奖获奖代表，并同大家合影留念。</w:t>
      </w:r>
    </w:p>
    <w:p w14:paraId="5B38D0B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部分中共中央政治局委员，中央书记处书记，全国人大常委会、国务院、全国政协、中央军委有关领导同志出席大会。</w:t>
      </w:r>
    </w:p>
    <w:p w14:paraId="24A2A40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央党政军群有关部门主要负责同志，中央科技委员会委员，国家科学技术奖励委员会委员，各省区市和计划单列市、新疆生产建设兵团有关负责同志，国家科学技术奖获奖代表，两院院士、部分外籍院士，中国科协第十一次全国代表大会代表等约4300人参加大会。</w:t>
      </w:r>
    </w:p>
    <w:p w14:paraId="6A900EA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2025年度国家科学技术奖共评选出258个项目和11名科技专家。其中，国家最高科学技术奖2人；国家自然科学奖51项，其中一等奖3项、二等奖48项；国家技术发明奖58项，其中一等奖3项、二等奖55项；国家科学技术进步奖149项，其中特等奖3项、一等奖13项、二等奖133项；授予9名外国专家中华人民共和国国际科学技术合作奖。</w:t>
      </w:r>
    </w:p>
    <w:p w14:paraId="0C543F3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92CC2F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8F6725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529F24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510A90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9A99A7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D8E85B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17B983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D64B90D">
      <w:pPr>
        <w:pStyle w:val="2"/>
        <w:bidi w:val="0"/>
        <w:rPr>
          <w:rFonts w:hint="eastAsia"/>
        </w:rPr>
      </w:pPr>
      <w:bookmarkStart w:id="7" w:name="_Toc25701"/>
      <w:r>
        <w:rPr>
          <w:rFonts w:hint="eastAsia"/>
        </w:rPr>
        <w:t>习近平对福建泉州晋江市一鞋厂火灾事故作出重要指示</w:t>
      </w:r>
      <w:bookmarkEnd w:id="7"/>
    </w:p>
    <w:p w14:paraId="0EEDC79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40"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微软雅黑" w:hAnsi="微软雅黑" w:eastAsia="微软雅黑" w:cs="微软雅黑"/>
          <w:i w:val="0"/>
          <w:iCs w:val="0"/>
          <w:caps w:val="0"/>
          <w:color w:val="333333"/>
          <w:spacing w:val="0"/>
          <w:sz w:val="27"/>
          <w:szCs w:val="27"/>
          <w:shd w:val="clear" w:fill="FFFFFF"/>
        </w:rPr>
        <w:t>　</w:t>
      </w:r>
      <w:r>
        <w:rPr>
          <w:rFonts w:hint="eastAsia" w:ascii="仿宋" w:hAnsi="仿宋" w:eastAsia="仿宋" w:cs="仿宋"/>
          <w:b w:val="0"/>
          <w:bCs w:val="0"/>
          <w:color w:val="262626"/>
          <w:spacing w:val="17"/>
          <w:sz w:val="31"/>
          <w:szCs w:val="31"/>
          <w:lang w:val="en-US" w:eastAsia="zh-CN"/>
        </w:rPr>
        <w:t>7月9日12时许，福建泉州晋江市一鞋厂发生火灾，造成重大人员伤亡。</w:t>
      </w:r>
    </w:p>
    <w:p w14:paraId="4CF20C6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事故发生后，中共中央总书记、国家主席、中央军委主席习近平高度重视并作出重要指示指出，福建泉州晋江市一鞋厂发生火灾，造成重大人员伤亡。要全力做好人员搜救、善后安抚等工作，尽快查明事故原因并严肃追责。</w:t>
      </w:r>
    </w:p>
    <w:p w14:paraId="3B54248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强调，今年以来，国内发生多起重大生产安全事故，各地区各有关部门要深刻汲取教训，更好统筹发展和安全，时刻绷紧安全生产这根弦，深入排查整治各类风险隐患，抓实抓细安全生产措施落实，坚决防止重特大事故发生，切实维护人民群众生命财产安全。</w:t>
      </w:r>
    </w:p>
    <w:p w14:paraId="106181E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共中央政治局常委、国务院总理李强作出批示指出，要全力组织搜救，做好善后处置，防范次生事故，同时尽快查明原因，依法严肃追责。国务院安委办要进一步指导督促各地树牢底线思维、极限思维，全面排查安全生产风险隐患，狠抓责任措施落实，严防重特大事故发生。</w:t>
      </w:r>
    </w:p>
    <w:p w14:paraId="66FB066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根据习近平重要指示和李强要求，应急管理部已派出工作组赶赴现场指导。福建省已组织力量全力做好伤员救治和现场处置等工作。目前，各项工作正在进行中。</w:t>
      </w:r>
    </w:p>
    <w:p w14:paraId="2A5541B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BC9F92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2A3E08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CA8667A">
      <w:pPr>
        <w:pStyle w:val="2"/>
        <w:bidi w:val="0"/>
      </w:pPr>
      <w:bookmarkStart w:id="8" w:name="_Toc6571"/>
      <w:r>
        <w:t>习近平在上海考察</w:t>
      </w:r>
      <w:bookmarkEnd w:id="8"/>
    </w:p>
    <w:p w14:paraId="19F9B2B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共中央总书记、国家主席、中央军委主席习近平15日在上海考察时强调，高质量推进城市更新是城市现代化建设的重要抓手，要全面践行人民城市理念，坚持问需于民、问计于民、问效于民，做深做细做实城市更新各项工作，不断增强居民群众的获得感、幸福感、安全感。</w:t>
      </w:r>
    </w:p>
    <w:p w14:paraId="5F0285B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15日下午，习近平在中共中央政治局委员、上海市委书记陈吉宁和市长龚正陪同下，来到位于黄浦区的半淞园路街道市民新村居民区考察调研。</w:t>
      </w:r>
    </w:p>
    <w:p w14:paraId="3A38305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市民新村居民区4幢上世纪50年代建成的楼房，通过改建更新，设立独立厨卫、加装电梯，居住条件明显改善。习近平走进社区综合服务点，听取上海市推进无卫生设施旧房提升改造、历史性解决老城区居民“拎马桶”问题和小区改造介绍，并向现场工作人员详细询问有关情况。习近平强调，党中央高度重视城市工作，明确提出要建设创新、宜居、美丽、韧性、文明、智慧的现代化人民城市，改造城市老旧小区是重要一环。工作中要牢固树立和践行正确政绩观，想群众之所想，急群众之所急，制定实施有效的政策举措，坚持久久为功，把老百姓关切的事一件一件办好，持续增进民生福祉。要以“绣花功夫”不断提升小区物业管理和便民服务水平，努力让居民群众满意。</w:t>
      </w:r>
    </w:p>
    <w:p w14:paraId="597CDF0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在退休居民朱国莉家，习近平仔细察看居住情况。朱国莉告诉总书记，现在有了自家的厨房、卫生间，生活方便多了。习近平听了很高兴。他说，“一枝一叶总关情”，老百姓的生活是家事，更是国事。共产党就是为老百姓服务的，只有人民群众安居乐业、生活舒心，党和政府才放心。希望你们把退休生活安排好，把家庭建设搞得更好。</w:t>
      </w:r>
    </w:p>
    <w:p w14:paraId="3E967CE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随后，习近平来到社区党群服务站，察看便民菜摊果蔬供应情况，在“市民客厅”同居民代表、街道干部、社区工作者等亲切交流。习近平指出，社区是城市治理体系的基本单元。要提高社区治理水平，推动资源、服务、管理等下沉基层一线，持续为基层减负赋能。要进一步加强党建引领，积极探索社区党组织领导下的居委会、业委会、物业服务企业协调运行新模式，建设完整社区和便民生活圈，用心用情为居民做好事、办实事、解难事。</w:t>
      </w:r>
    </w:p>
    <w:p w14:paraId="0C3A8F2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考察途中，习近平强调，当前，正处于防汛关键期，各地区各有关方面要树牢底线思维、极限思维，密切关注雨情汛情和台风形势，深入细致开展风险隐患排查，扎实做好防汛抗洪、抢险救灾等工作，切实维护人民群众生命财产安全。</w:t>
      </w:r>
    </w:p>
    <w:p w14:paraId="7926B42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中共中央政治局常委、中央办公厅主任蔡奇陪同考察。</w:t>
      </w:r>
    </w:p>
    <w:p w14:paraId="49FC490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中央和国家机关有关部门负责同志陪同考察。</w:t>
      </w:r>
    </w:p>
    <w:p w14:paraId="56D172E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8D87F0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0A7ECB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D15746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23FD73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E41EF66">
      <w:pPr>
        <w:pStyle w:val="2"/>
        <w:bidi w:val="0"/>
      </w:pPr>
      <w:bookmarkStart w:id="9" w:name="_Toc28538"/>
      <w:r>
        <w:t>习近平出席2026世界人工智能大会暨人工智能全球治理高级别会议开幕式并发表主旨讲话</w:t>
      </w:r>
      <w:bookmarkEnd w:id="9"/>
    </w:p>
    <w:p w14:paraId="78677D9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7月17日上午，国家主席习近平在上海世界会客厅出席2026世界人工智能大会暨人工智能全球治理高级别会议开幕式并发表主旨讲话。</w:t>
      </w:r>
    </w:p>
    <w:p w14:paraId="207DFBE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黄浦江畔，潮启新澜。世界会客厅内嘉宾云集。</w:t>
      </w:r>
    </w:p>
    <w:p w14:paraId="5A30B56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习近平同与会的国家元首、政府首脑、国际组织负责人及各国代表团团长集体合影。</w:t>
      </w:r>
    </w:p>
    <w:p w14:paraId="6515946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在热烈的掌声中，习近平发表题为《携手构建公正合理的全球人工智能治理体系》的主旨讲话。</w:t>
      </w:r>
    </w:p>
    <w:p w14:paraId="1706DD5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指出，当前，世界百年变局加速演进，新一轮科技革命和产业变革加速突破，全球人工智能技术创新进入前所未有的活跃期，既蕴含巨大机遇，也面临治理挑战。人类不得不直面时代之问：当机器开始思考，人类如何与之相处？当算法参与决策，安全如何保障？当技术挑战伦理，治理如何跟上？当鸿沟不断拉大，普惠如何实现？中方认为，各国应当秉持以人为本、向上向善理念，让人工智能成为促进共同繁荣、维护共同安全的一个重要动力源，携手构建公正合理的全球人工智能治理体系。</w:t>
      </w:r>
    </w:p>
    <w:p w14:paraId="191F127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习近平就此提出4点意见：</w:t>
      </w:r>
    </w:p>
    <w:p w14:paraId="09E7A83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一，坚持开放共赢，驱动创新发展。抓住难得的历史性机遇，鼓励开源开放、合作共享，全面促进人工智能科技创新、产业发展、场景应用，协同推进传统产业改造升级、新兴产业培育壮大、未来产业前瞻布局，让人工智能赋能千行百业。</w:t>
      </w:r>
    </w:p>
    <w:p w14:paraId="2AF5266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二，强化风险意识，确保安全可控。高度重视人工智能引发的各类内生和衍生风险，推动构建法律法规、技术监测、风险预警、应急响应体系，筑牢安全底线，防范滥用恶用，确保人工智能始终处于人类控制之下。共同反对在人工智能领域泛化国家安全概念、把本国安全凌驾于他国安全之上的做法。</w:t>
      </w:r>
    </w:p>
    <w:p w14:paraId="622BAD6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第三，鼓励包容并蓄，促进文明互鉴。用全人类共同价值塑造人工智能的价值观，善用人工智能技术增进不同文明的理解和包容，促进不同文明交流互鉴，精心培育各美其美、美美与共的文明百花园。</w:t>
      </w:r>
    </w:p>
    <w:p w14:paraId="7E96CD3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第四，倡导和衷共济，完善全球治理。践行真正的多边主义，切实发挥联合国的重要作用，加强人工智能发展战略、治理规则、技术标准的对接协调，早日形成具有广泛共识的全球治理框架，让这一前沿技术更好造福人类社会。帮助全球南方国家加强能力建设，弥合数智鸿沟，促进可持续发展，避免在人工智能领域造成新的历史不公。</w:t>
      </w:r>
    </w:p>
    <w:p w14:paraId="3C53C2E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强调，今年是中国“十五五”开局之年。“十五五”规划为未来5年中国经济社会发展擘画蓝图，也为国际社会提供机遇清单。近年来，中国坚持有效市场和有为政府相结合，加强人工智能科技创新，积极推进“人工智能+”行动，培育各类主体共生共荣的健康生态，智能经济核心产业规模已经超过万亿元人民币，“中国智造”已成为中国式现代化的又一亮丽名片。同时，中国坚持发展和安全并重，不断完善相关法律法规、政策制度、应用规范、伦理准则，确保人工智能安全、可靠、可控。作为负责任大国，中国在人工智能领域始终致力于做国际公共产品的提供者，源源不断贡献中国方案。</w:t>
      </w:r>
    </w:p>
    <w:p w14:paraId="606E30A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指出，在各方共同努力下，世界人工智能合作组织在上海应运而生。这是中方响应全球南方呼声、团结国际社会积极推动人工智能发展和治理的重大举措，将成为人工智能发展史上的一个重要里程碑。为进一步支持全球人工智能发展、推进全球人工智能能力建设，未来5年，中国将面向发展中国家提供5000个人工智能专题研修培训名额；面向东盟、阿盟、非盟、拉共体、上合组织、金砖国家建设国际人工智能应用合作中心；推动气象智能预警方案“妈祖”在30个国家落地应用。中国愿以更加开放的姿态、更加务实的行动、更加长远的目光，同各方一道把握和应对人工智能发展的机遇和挑战，携手共创人类社会更加美好的未来。</w:t>
      </w:r>
    </w:p>
    <w:p w14:paraId="451D512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哈萨克斯坦总统托卡耶夫、柬埔寨首相洪玛奈、泰国总理阿努廷、联合国秘书长古特雷斯分别致辞。他们热烈祝贺世界人工智能合作组织协定签署仪式在上海举行，高度评价中国为推动人工智能全球治理作出的重要贡献，积极呼应习近平主席提出的倡议和举措。各方表示，人工智能有望成为人类最大的发展机遇，也潜藏着风险。中国倡导智能向善、普惠包容、安全可控，积极帮助发展中国家加强相关能力建设，推动人工智能国际合作，彰显了负责任的大国担当。人工智能技术应由各国共享共治，使其公平惠及所有国家，服务全人类可持续发展，消弭全球数智鸿沟和南北发展差距。人工智能带来的机遇与挑战跨越国界，需要各方携手合作把握和应对。希望并相信世界人工智能合作组织将为此发挥重要作用，通过开放包容、平等互惠的合作，共同打造安全、繁荣、不让任何国家掉队的美好未来。</w:t>
      </w:r>
    </w:p>
    <w:p w14:paraId="15EEA3E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大会发表《2026世界人工智能大会暨人工智能全球治理高级别会议主席声明》。</w:t>
      </w:r>
    </w:p>
    <w:p w14:paraId="00A70A7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7月16日晚，习近平和夫人彭丽媛在世界会客厅为与会国际贵宾举行欢迎宴会。</w:t>
      </w:r>
    </w:p>
    <w:p w14:paraId="1DF935F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蔡奇、丁薛祥、王毅等出席上述活动。</w:t>
      </w:r>
    </w:p>
    <w:p w14:paraId="47AA5E3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陈吉宁主持开幕式。</w:t>
      </w:r>
    </w:p>
    <w:p w14:paraId="2FBFD51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2706AB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A34D92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EA27A9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8F879E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BE4B20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4DCBF6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DC0DA5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367BF08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84DC4E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4765E76">
      <w:pPr>
        <w:pStyle w:val="2"/>
        <w:bidi w:val="0"/>
      </w:pPr>
      <w:bookmarkStart w:id="10" w:name="_Toc12117"/>
      <w:r>
        <w:t>习近平对基础教育工作作出重要指示</w:t>
      </w:r>
      <w:bookmarkEnd w:id="10"/>
    </w:p>
    <w:p w14:paraId="3867C67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共中央总书记、国家主席、中央军委主席习近平近日对基础教育工作作出重要指示指出，党的十八大以来，党中央把基础教育作为基础性、先导性工作来抓，多措并举推动基础教育实现长足发展，为建设教育强国提供了有力支撑。</w:t>
      </w:r>
    </w:p>
    <w:p w14:paraId="1090872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习近平强调，新征程上，要以新时代中国特色社会主义思想为指导，全面贯彻党的教育方针，落实立德树人根本任务，坚持不懈用党的创新理论铸魂育人，培养德智体美劳全面发展的社会主义建设者和接班人。要遵循教育规律，落实健康第一教育理念，提升教育教学质量，促进广大学生身心健康、成长成才。要适应人民群众新期盼，推进基础教育扩优提质，牢牢守住教育公平底线。要弘扬教育家精神，加强师德师风建设，培养造就高素质专业化教师队伍。各级党委和政府要切实扛起政治责任，优化办学资源配置，深化教育综合改革，推动学校、家庭、社会同向发力，不断开创基础教育高质量发展新局面。</w:t>
      </w:r>
    </w:p>
    <w:p w14:paraId="01B318F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全国基础教育工作会议7月22日在京召开。会上传达了习近平重要指示。中共中央政治局常委、国务院副总理丁薛祥出席会议并讲话。</w:t>
      </w:r>
    </w:p>
    <w:p w14:paraId="3A1821A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丁薛祥在讲话中指出，习近平总书记的重要指示具有很强的政治性、思想性、指导性，为做好新时代新征程基础教育工作指明了方向。我们要深入学习领会，抓好贯彻落实。</w:t>
      </w:r>
    </w:p>
    <w:p w14:paraId="3617E29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丁薛祥强调，新时代基础教育事业取得历史性成就、发生格局性变化，要从中深刻领悟“两个确立”的决定性意义，增强“四个意识”、坚定“四个自信”、做到“两个维护”。要以习近平新时代中国特色社会主义思想为指导，深刻把握教育的政治属性、人民属性、战略属性，适应经济社会发展新形势和人民群众新期盼，深入推进基础教育高质量发展。</w:t>
      </w:r>
    </w:p>
    <w:p w14:paraId="1DB6FBE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丁薛祥指出，要全面贯彻党的教育方针，坚持不懈用党的创新理论铸魂育人，坚持五育并举、五育融合，促进学生健康成长、全面发展。要严格招生入学管理，加强对农村留守儿童、进城务工人员子女的关心关爱，牢牢守住教育公平底线，推进基础教育均衡发展。要适应人口变化优化教育资源配置，统筹做好经费保障、学校布局、学位供给、师资调配等工作。要以学生成长为中心深化教育教学改革，守正创新塑造基础教育新优势。要进一步强化协同共育，压实各方责任，充分发挥学校、家庭、社会作用，形成育人合力。要弘扬教育家精神，提升教师专业素养，加强教师待遇保障，吸引更多优秀人才安心从教。各地区各有关部门和学校要强化组织保障，以钉钉子精神推动党中央和国务院相关决策部署落地见效。</w:t>
      </w:r>
    </w:p>
    <w:p w14:paraId="4CE72FE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教育部、中央编办、国家发展改革委、财政部、北京市、湖北省、甘肃省、北京师范大学负责同志作交流发言。</w:t>
      </w:r>
    </w:p>
    <w:p w14:paraId="7897D71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石泰峰、李书磊、王小洪、吴政隆出席会议。</w:t>
      </w:r>
    </w:p>
    <w:p w14:paraId="53AE5A7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各省区市和计划单列市、新疆生产建设兵团，中央和国家机关有关部门、有关人民团体、中央军委机关有关部门，教育部直属师范大学和“国优计划”实施院校负责同志等参加会议。</w:t>
      </w:r>
    </w:p>
    <w:p w14:paraId="56E232A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09F4FB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F4C7A0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316CF6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8F172F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3A1B7B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221FD4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7B5BB9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61422B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93A2EB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1EC1A7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857D9A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5F7939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5D55F9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EAF992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165AB3C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16278F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D259DD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B58222F">
      <w:pPr>
        <w:pStyle w:val="2"/>
        <w:bidi w:val="0"/>
      </w:pPr>
      <w:r>
        <w:t>“努力让每个孩子都能享有公平而有质量的教育”</w:t>
      </w:r>
    </w:p>
    <w:p w14:paraId="761886CC">
      <w:pPr>
        <w:pStyle w:val="2"/>
        <w:bidi w:val="0"/>
      </w:pPr>
      <w:r>
        <w:t>——习近平总书记关于教育的重要论述指引基础教育高质量发展</w:t>
      </w:r>
    </w:p>
    <w:p w14:paraId="5D6C770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540" w:firstLineChars="200"/>
        <w:jc w:val="both"/>
        <w:textAlignment w:val="baseline"/>
        <w:rPr>
          <w:rFonts w:hint="eastAsia" w:ascii="仿宋" w:hAnsi="仿宋" w:eastAsia="仿宋" w:cs="仿宋"/>
          <w:b w:val="0"/>
          <w:bCs w:val="0"/>
          <w:color w:val="262626"/>
          <w:spacing w:val="17"/>
          <w:sz w:val="31"/>
          <w:szCs w:val="31"/>
          <w:lang w:val="en-US" w:eastAsia="zh-CN"/>
        </w:rPr>
      </w:pPr>
      <w:r>
        <w:rPr>
          <w:rFonts w:ascii="宋体" w:hAnsi="宋体" w:eastAsia="宋体" w:cs="宋体"/>
          <w:i w:val="0"/>
          <w:iCs w:val="0"/>
          <w:caps w:val="0"/>
          <w:color w:val="333333"/>
          <w:spacing w:val="0"/>
          <w:sz w:val="27"/>
          <w:szCs w:val="27"/>
          <w:bdr w:val="none" w:color="auto" w:sz="0" w:space="0"/>
          <w:shd w:val="clear" w:fill="FFFFFF"/>
        </w:rPr>
        <w:t>　</w:t>
      </w:r>
      <w:r>
        <w:rPr>
          <w:rFonts w:hint="eastAsia" w:ascii="仿宋" w:hAnsi="仿宋" w:eastAsia="仿宋" w:cs="仿宋"/>
          <w:b w:val="0"/>
          <w:bCs w:val="0"/>
          <w:color w:val="262626"/>
          <w:spacing w:val="17"/>
          <w:sz w:val="31"/>
          <w:szCs w:val="31"/>
          <w:lang w:val="en-US" w:eastAsia="zh-CN"/>
        </w:rPr>
        <w:t>百年大计，教育为本。建设教育强国，基点在基础教育。</w:t>
      </w:r>
    </w:p>
    <w:p w14:paraId="69D922D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基础教育搞得越扎实，教育强国步伐就越稳、后劲就越足。”新时代以来，习近平总书记站在强国建设、民族复兴的战略高度，深刻阐明基础教育的基础性、先导性地位，引领各地区各部门强师资、促公平、提质量，推动我国基础教育取得历史性成就、发生格局性变化。</w:t>
      </w:r>
    </w:p>
    <w:p w14:paraId="0241C8F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当前，我国基础教育有各级各类学校43万所、在校生2.2亿人、教师1577万人，筑就世界上规模最大且运行高效的教育基座；2025年，学前教育毛入园率92.90%，九年义务教育巩固率96.10%，高中阶段毛入学率92.00%，普及度和关键指标全面超越中高收入国家平均水平……一组组数据，是答卷，也是新的起跑线。</w:t>
      </w:r>
    </w:p>
    <w:p w14:paraId="7E151CE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锚定2035年建成教育强国的目标，公平优质的基础教育体系正加速构建，强国建设、民族复兴伟业的根基稳步夯实。</w:t>
      </w:r>
    </w:p>
    <w:p w14:paraId="58EBA31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“基础教育在国民教育体系中处于基础性、先导性地位”</w:t>
      </w:r>
    </w:p>
    <w:p w14:paraId="283FCB4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走进四川省南充市嘉陵区之江小学，现代化教学设施让人眼前一亮：教室里用上了电子白板，图书馆有大型LED显示屏……</w:t>
      </w:r>
    </w:p>
    <w:p w14:paraId="063DC2E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“你们好！看到来信，我回想起20年前为你们学校培土奠基的情景。”2024年，习近平总书记给之江小学的学生们回信，勉励孩子们“争做爱党爱国、自立自强、奋发向上的新时代好少年”。</w:t>
      </w:r>
    </w:p>
    <w:p w14:paraId="71720BD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之江小学，是浙江在南充援建的希望小学之一。2004年5月，时任浙江省委书记的习近平同志来到这里为学校奠基，殷殷嘱托“要把这座学校建好，让山村里的孩子早日成才”。</w:t>
      </w:r>
    </w:p>
    <w:p w14:paraId="5694BBA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一颗种子，在校园种下。20余年后，长成一片林。</w:t>
      </w:r>
    </w:p>
    <w:p w14:paraId="070CEE8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在地方工作时，习近平同志对教育倾注了许多心力：“要做到全村最好的房子是学校”“教育问题是绝对不允许‘等一等’的”“真正把教育摆在先行官的位置”……牵挂，一以贯之。</w:t>
      </w:r>
    </w:p>
    <w:p w14:paraId="18D594C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党的十八大以来，习近平总书记考察调研、走村入户时，看到家里有孩子常常悉心询问：“孩子有没有学上”“孩子书读得怎么样”“孩子在哪里上学”……关怀，温暖人心。</w:t>
      </w:r>
    </w:p>
    <w:p w14:paraId="00C689A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基础教育在国民教育体系中处于基础性、先导性地位，必须把握好定位，全面贯彻落实党的教育方针，从多方面采取措施，努力把我国基础教育越办越好”“我们创造了那么多奇迹，还是靠我们的教育基础”“我国的基础教育在世界上是有优势的”……习近平总书记的重要论述，道出基础教育的分量与方位。</w:t>
      </w:r>
    </w:p>
    <w:p w14:paraId="464C3A0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何以为基？“基础教育是立德树人的事业”。育人为本，德育为先。</w:t>
      </w:r>
    </w:p>
    <w:p w14:paraId="66FC8F7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面对思维活跃的青少年，如何让思政教育“入脑入心”？习近平总书记强调：“要旗帜鲜明加强思想政治教育、品德教育，加强社会主义核心价值观教育，引导学生自尊自信自立自强。”“‘大思政课’我们要善用之，一定要跟现实结合起来。”</w:t>
      </w:r>
    </w:p>
    <w:p w14:paraId="1B7037D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擎信仰之炬，育时代新人。推动习近平新时代中国特色社会主义思想进教材、进课堂、进头脑，一堂堂高水平思政“金课”不断涌现，550余个国家级“大思政课”实践教学基地设立，全员全程全方位育人的思政育人格局逐步形成，一批批听党话、跟党走的少年儿童向阳生长。</w:t>
      </w:r>
    </w:p>
    <w:p w14:paraId="721F176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何以为基？“基础教育是提高民族素质的奠基工程，要遵循青少年成长特点和规律，扎实做好基础的文章。”促进学生健康成长、全面发展，是落实立德树人根本任务的应有之义。</w:t>
      </w:r>
    </w:p>
    <w:p w14:paraId="588DB96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从“健全德智体美劳全面培养体系”的顶层擘画，到“要在教育‘双减’中做好科学教育加法”的清晰指引，从“长得壮壮的、练得棒棒的”的暖心鼓励，到“坚持以美育人、以文化人”的明确要求，习近平总书记把对祖国下一代的深情关爱，化作一句句嘱托、一项项部署。</w:t>
      </w:r>
    </w:p>
    <w:p w14:paraId="7A386E0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给孩子们的“成长大礼包”逐步落地：各地普遍探索课间15分钟，全面落实中小学生每天综合体育活动2小时；健全美育课程体系、实施学校美育浸润行动、开展青少年学生读书行动……</w:t>
      </w:r>
    </w:p>
    <w:p w14:paraId="55C87D0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少年强则国强，少年进步则国进步。</w:t>
      </w:r>
    </w:p>
    <w:p w14:paraId="6CC2F59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新时代的少年儿童，在行走中立志，在课堂上启智，在操场上奔跑，在美育中润心，在劳动中锤炼。他们昂扬的精气神、舒展的身体、明亮的双眸，正是教育强国建设生动的见证。</w:t>
      </w:r>
    </w:p>
    <w:p w14:paraId="718F503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“努力让每个孩子都有人生出彩的机会”</w:t>
      </w:r>
    </w:p>
    <w:p w14:paraId="7766015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武陵山深处，重庆市石柱土家族自治县中益乡小学，篮球场、科技馆等一应俱全。今年暑假，浙江大学的学生们来到这里支教，开展体育、戏剧等活动，拓宽乡村孩子的视野。</w:t>
      </w:r>
    </w:p>
    <w:p w14:paraId="6DC6186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2019年4月，习近平总书记在中益乡小学考察时指出：“再苦不能苦孩子，再穷不能穷教育。要保证贫困山区的孩子上学受教育，有一个幸福快乐的童年。”</w:t>
      </w:r>
    </w:p>
    <w:p w14:paraId="114D065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如今的中益乡小学，校园面貌发生了很大变化：水泥操场已被改造成色彩鲜艳的塑胶跑道，新建的学生宿舍温馨整洁，食堂也扩建了一层。一所乡村小学的美丽蝶变，折射出坚持以人民为中心发展教育的成效。</w:t>
      </w:r>
    </w:p>
    <w:p w14:paraId="2169516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教育公平是社会公平的重要基础，要不断促进教育发展成果更多更公平惠及全体人民”“努力让每个孩子都能享有公平而有质量的教育，更好满足群众对‘上好学’的需要”“努力让每个孩子都有人生出彩的机会”……殷殷嘱托，落地有声。</w:t>
      </w:r>
    </w:p>
    <w:p w14:paraId="453D705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对一个14亿多人口的发展中国家来说，改变，从一间间教室、一顿顿营养餐、一块块屏幕开始。</w:t>
      </w:r>
    </w:p>
    <w:p w14:paraId="0496264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条抬高的“底线”，标注着教育公平的时代刻度。2014年，“全面改薄”20条底线要求印发，面向贫困地区，聚焦薄弱学校，推进义务教育学校标准化建设。2026年，《中小学基本办学条件底线要求》印发，进一步抬高全国统一的办学条件“底线”。其中，师资配备首次被纳入，强化“五育并举”，突出“健康第一”，凸显教育数字化转型新要求。</w:t>
      </w:r>
    </w:p>
    <w:p w14:paraId="35CA736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个平台，跨越山海，让亿万孩子同在蓝天下共享优质教育。目前，国家中小学智慧教育平台资源总量超14万条，注册用户达1.73亿人，页面浏览量逾760亿次，许多偏远学校、乡村学校借助平台开齐开足上好音体美劳、科学等紧缺课程。智慧教育让资源“多起来”“用得好”，教育公平优质发展的路径因技术而变得更加明晰。</w:t>
      </w:r>
    </w:p>
    <w:p w14:paraId="49E971C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一组组数据，映射着教育公平的阳光洒向神州大地的印记：学前一年免除保育教育费政策已惠及1400万儿童；2895个县域全部实现义务教育基本均衡；“十四五”时期，中央投入1046亿元专项资金扩充普通高中办学资源、改善办学条件；2025年，全国适龄残疾儿童义务教育入学率保持在97%以上。</w:t>
      </w:r>
    </w:p>
    <w:p w14:paraId="3FFEB7E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变化，正在校园里、课堂上悄然发生：</w:t>
      </w:r>
    </w:p>
    <w:p w14:paraId="551DF28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作为教育部中小学人工智能教育基地，宁夏回族自治区银川市第十五中学构建了“通识+特色”人工智能课程体系，学情“动态画像”系统助力因材施教；</w:t>
      </w:r>
    </w:p>
    <w:p w14:paraId="62467DB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广东省深圳市探索义务教育学校“每周半天计划”，将整座城市打造成学生成长的“大课堂”，引导学生开展项目式学习；</w:t>
      </w:r>
    </w:p>
    <w:p w14:paraId="301C132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甘肃省开展“强县中”项目、江苏省实施“苏教名家”培养工程，县域普通高中振兴行动计划深入实施，县中办学能力水平不断提升；</w:t>
      </w:r>
    </w:p>
    <w:p w14:paraId="52E8404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2023—2025年国家义务教育质量监测数据显示，80%左右学生数学、语文、英语、科学等基本素养达到课程标准要求，55%左右达到优良水平；</w:t>
      </w:r>
    </w:p>
    <w:p w14:paraId="6020908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联合国教科文组织国际STEM（科学、技术、工程、数学）教育研究所在上海成立，我国的基础教育和科技教育得到国际社会高度认可……</w:t>
      </w:r>
    </w:p>
    <w:p w14:paraId="53A0E1C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从规模扩张到质量提升，从保障公平到追求优质，办好基础教育，中国有自信。</w:t>
      </w:r>
    </w:p>
    <w:p w14:paraId="04568A1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“再接再厉，茁壮成长，成为我们优秀的一代”</w:t>
      </w:r>
    </w:p>
    <w:p w14:paraId="44643F6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今年3月，习近平总书记赴河北雄安新区考察，走进北京四中雄安校区。</w:t>
      </w:r>
    </w:p>
    <w:p w14:paraId="071E42A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“再接再厉，茁壮成长，成为我们优秀的一代！”总书记勉励孩子们惜福奋进、积极向上，与雄安新区一起成长，与中国式现代化同步发展。</w:t>
      </w:r>
    </w:p>
    <w:p w14:paraId="500D939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14岁的乔梓轩，去年随妈妈迁至雄安就读。“我一定努力全面发展，长大为祖国作贡献！”他语气坚定，目光灼灼。</w:t>
      </w:r>
    </w:p>
    <w:p w14:paraId="77E4F14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教育决定今天，也决定未来。</w:t>
      </w:r>
    </w:p>
    <w:p w14:paraId="52A782D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面向智能变革时代浪潮，习近平总书记看得辩证：“现在，一方面，有了智联网、人工智能，教育的工具和方法会发生变化，学生能力培养会有变化，这些正需要与时俱进地进行改革。另一方面，对于学生的启智、心灵的培养和基本的认知能力、解决问题能力的培养，是不能放松的。基本功还得有。”</w:t>
      </w:r>
    </w:p>
    <w:p w14:paraId="2737C5C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立德树人，“不能把最基本的丢掉”。</w:t>
      </w:r>
    </w:p>
    <w:p w14:paraId="63DD5B6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学校会在一个人的心中播下一颗种子。小学、中学甚至是幼儿园会在人的一生中起很重要的作用，一定要从娃娃抓起”“把思政教育‘小课堂’和社会‘大课堂’有效融合起来”。一席叮嘱，蕴含着时代变革面前的定力。</w:t>
      </w:r>
    </w:p>
    <w:p w14:paraId="217A776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强教必先强师，“要把加强教师队伍建设作为建设教育强国最重要的基础工作来抓”。</w:t>
      </w:r>
    </w:p>
    <w:p w14:paraId="48B37EB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深刻阐释中国特有的教育家精神，为教师队伍建设指明方向；提出“四有”好老师的标准，赋予师德师风时代内涵；用四个“引路人”的期许，对教育理念和教育能力提出更高要求。</w:t>
      </w:r>
    </w:p>
    <w:p w14:paraId="5D0CC79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“基础教育，承担着非常光荣艰巨的历史任务。”习近平总书记强调，新时代教育工作者要努力把青少年培养成为中国特色社会主义的建设者和接班人。</w:t>
      </w:r>
    </w:p>
    <w:p w14:paraId="431E32A4">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嘱托在耳，责任在肩。广大人民教师不负时代使命，不负人民期望，坚守三尺讲台，当好“梦之队”的筑梦人。</w:t>
      </w:r>
    </w:p>
    <w:p w14:paraId="5D61F95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面向2035年建成教育强国的使命，如何夯实基点，继续往深处扎根、往远处着眼、往实处用力？</w:t>
      </w:r>
    </w:p>
    <w:p w14:paraId="790F0CC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中国式现代化是人口规模巨大的现代化，学龄人口在流动，结构在变化，教育资源配置若跟不上，供需之间就会出现缺口——</w:t>
      </w:r>
    </w:p>
    <w:p w14:paraId="65F29E2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要优化区域教育资源配置，建立同人口变化相协调的基本公共教育服务供给机制，推动义务教育优质均衡发展，加强义务教育学校标准化建设，逐步缩小城乡、区域、校际、群体差距。”习近平总书记谋深思远。</w:t>
      </w:r>
    </w:p>
    <w:p w14:paraId="664CA24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培养什么人、怎样培养人、为谁培养人是教育的根本问题。在全社会树立科学的人才观、成才观、教育观，才能培养出面向未来的优秀一代——</w:t>
      </w:r>
    </w:p>
    <w:p w14:paraId="656F0AA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在全国教育大会上，要求“健全立德树人落实机制，扭转不科学的教育评价导向”；针对校外培训乱象等问题，指出“教育，无论学校教育还是家庭教育，都不能过于注重分数”；在北京市八一学校考察时，强调“基础教育是全社会的事业，需要学校、家庭、社会密切配合”……习近平总书记的重要论述推动全社会为青少年成长成才营造良好教育环境。</w:t>
      </w:r>
    </w:p>
    <w:p w14:paraId="3045B6C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今年是中国共产党成立105周年，党的事业需要一代又一代人接续奋斗。”2026年“六一”国际儿童节即将到来之际，习近平总书记给中共一大纪念馆、南湖革命纪念馆少先队红领巾讲解员回信，殷切寄语“做党和人民的红孩子”“在新征程上跑好历史接力赛”。</w:t>
      </w:r>
    </w:p>
    <w:p w14:paraId="7798464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这个暑假，中共一大纪念馆、南湖革命纪念馆吸引众多学生前来参观。他们听百余年前的故事，也在心中厚植爱党、爱国、爱社会主义的情感。</w:t>
      </w:r>
    </w:p>
    <w:p w14:paraId="34A36DF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eastAsia" w:ascii="仿宋" w:hAnsi="仿宋" w:eastAsia="仿宋" w:cs="仿宋"/>
          <w:b w:val="0"/>
          <w:bCs w:val="0"/>
          <w:color w:val="262626"/>
          <w:spacing w:val="17"/>
          <w:sz w:val="31"/>
          <w:szCs w:val="31"/>
          <w:lang w:val="en-US" w:eastAsia="zh-CN"/>
        </w:rPr>
        <w:t>从课堂到天地，从历史到未来，基础教育夯基固本、培根铸魂。“我们优秀的一代”正以蓬勃昂扬的姿态茁壮成长，必将跑好历史的接力赛。</w:t>
      </w:r>
    </w:p>
    <w:p w14:paraId="662D31C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C0BABE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086A95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3DC149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429F026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FFF365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B6377B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2E81DF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13512F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DE8322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5FB5D13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653D446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0E74598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86EE86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2D07057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p>
    <w:p w14:paraId="76D2C86C">
      <w:pPr>
        <w:pStyle w:val="2"/>
        <w:bidi w:val="0"/>
      </w:pPr>
      <w:r>
        <w:rPr>
          <w:rFonts w:hint="default"/>
        </w:rPr>
        <w:t>《整治形式主义为基层减负若干规定》</w:t>
      </w:r>
    </w:p>
    <w:p w14:paraId="65EBBBF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新华社北京8月6日电中共中央办公厅、国务院办公厅印发了《整治形式主义为基层减负若干规定》（以下简称《若干规定》），并发出通知，要求各地区各部门认真遵照执行。</w:t>
      </w:r>
    </w:p>
    <w:p w14:paraId="684513F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通知指出，形式主义、官僚主义是顽瘴痼疾，必须下大力气坚决纠治。基层是贯彻落实党中央决策部署的“最后一公里”，不能被形式主义、官僚主义束缚手脚。制定《若干规定》，深入贯彻党的二十届三中全会精神，健全为基层减负长效机制，对于持续深化拓展整治形式主义为基层减负具有重要意义。</w:t>
      </w:r>
    </w:p>
    <w:p w14:paraId="46AAE3A5">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通知要求，各地区各部门要严格执行《若干规定》，统筹为基层减负和赋能，切实把基层从形式主义、官僚主义束缚中解脱出来，引导广大党员、干部积极担当作为，有更多精力抓落实。中央层面整治形式主义为基层减负专项工作机制要定期督促检查，中央和国家机关各部门、各省级党委和政府在安排部署工作时要实事求是，党委（党组）要履行好主体责任，各级纪检监察机关要强化监督执行，确保《若干规定》落到实处。</w:t>
      </w:r>
    </w:p>
    <w:p w14:paraId="11D02F8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《若干规定》全文如下。</w:t>
      </w:r>
    </w:p>
    <w:p w14:paraId="764F54E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整治形式主义为基层减负若干规定</w:t>
      </w:r>
    </w:p>
    <w:p w14:paraId="0716B89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（2024年7月30日中共中央政治局会议审议批准2024年8月6日中共中央办公厅、国务院办公厅发布）</w:t>
      </w:r>
    </w:p>
    <w:p w14:paraId="2046DE4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为了深化拓展整治形式主义为基层减负，健全为基层减负长效机制，引导广大党员、干部树立和践行正确政绩观，积极担当作为，有更多精力抓落实，制定如下规定。</w:t>
      </w:r>
    </w:p>
    <w:p w14:paraId="0B6503C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一、切实精简文件</w:t>
      </w:r>
    </w:p>
    <w:p w14:paraId="401C012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1.严控文件数量。地方和部门发文严格实行计划管理、总量管控和发文立项制度，严格控制临时性、配套类、分工类发文。年度实际发文数量一般只减不增，超过上年度的应当向上级党委办公厅（室）书面说明。议事协调机构、部门和单位不得向下级党委和政府发布指令性公文或者在公文中提出指令性要求。加强日常动态监测，防止以“红头”变“白头”、正式改便笺、多文合一等方式规避发文数量管理。</w:t>
      </w:r>
    </w:p>
    <w:p w14:paraId="678DA70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2.提升文件质量。坚持“短实新”文风，除部署综合性工作外，地方和部门文件一般不超过5000字，部署专项工作或者具体任务的文件一般不超过4000字。文件应当开门见山、直奔主题，着重提出贯彻落实的政策措施，一般不必阐述形势背景、重要意义、主要原则等内容，确需阐述的应当简明扼要；加强领导、落实责任、组织保障等内容应当精炼。配套文件应当直接提出具体落实措施，不得简单照搬照抄上位文件。</w:t>
      </w:r>
    </w:p>
    <w:p w14:paraId="4078F92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3.加强评估审查。地方和部门制发文件应当进行与为基层减负一致性评估，加强政策性、合法合规性审查，一般不提出报送贯彻落实情况、制定配套文件的要求；除专门文件外，文件原则上不对机构编制、干部配备、工资福利待遇、创建示范、达标、“一票否决”和签订责任状等事项提出具体要求。</w:t>
      </w:r>
    </w:p>
    <w:p w14:paraId="3CB1958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二、严格精简会议</w:t>
      </w:r>
    </w:p>
    <w:p w14:paraId="68868E6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4.严控会议数量。召开会议严格实行计划管理。法定性、制度性会议按照有关规定执行。本系统本领域综合性工作会议，原则上每年不超过1次，各级部门召开的业务工作会议能合并的合并、能精简的精简。各级召开日常性会议应当精简务实、控制频次，可以合并研究审议的事项应当合并。对上级精神不刻意搞开会传达不过夜。未经同级党委主要负责同志批准，不得随意召开直达基层的会议（含电视电话、网络视频会议），对已直接开到基层的，不再层层召开。压减现场观摩会、推进会等频次数量。已制发文件的工作事项原则上不再专门开会部署。市县两级党委和政府对年度综合性会议加大统筹力度，防止年底年初扎堆开会，明显减少乡镇（街道）党政主要负责同志和村（社区）党组织书记、村（居）委会主任参加的会议数量。</w:t>
      </w:r>
    </w:p>
    <w:p w14:paraId="2967084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5.控制规模规格。严控参会人员范围、层级，只安排与会议主题密切相关的单位参加，不搞层层陪会。合理确定会议规格，由分管负责同志召集部署的会议，一般不要求下级主要负责同志参会。以部门名义召开的会议，未经同级党委批准，不得要求下级党委和政府负责同志参会。不简单以出席会议领导级别对参会人员提出相应级别要求，可由分管负责同志参加的会议不要求主要负责同志参会，可由部门负责同志参加的会议不要求党委和政府负责同志参会。中央部门工作会议一般不安排市县及以下单位参会，省级部门工作会议一般不安排县以下单位参会。</w:t>
      </w:r>
    </w:p>
    <w:p w14:paraId="11EC0FB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6.提升质量效率。从严落实开短会、讲短话要求，地方党政主要负责同志同时参加的会议一般不同时讲话，主要负责同志讲话或者会议主报告不超过1小时，有发言安排的应当控制发言时间，不搞一般性工作汇报、表态。安排分组讨论的会议，会期原则上不超过1天半，其他会议一般安排半天以内。能采用电视电话、网络视频形式召开的会议，可不集中开会。</w:t>
      </w:r>
    </w:p>
    <w:p w14:paraId="78364EF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三、统筹规范督查检查考核</w:t>
      </w:r>
    </w:p>
    <w:p w14:paraId="75988A6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7.严格计划和备案管理。中央和国家机关各部门拟开展的涉及地方党委和政府的综合性督查检查考核事项，按年度计划执行，原则上每部门不超过1项，同类事项应当合并进行，涉及多部门的应当联合开展。加大对部门内设机构和行业系统开展督查检查考核的统筹力度，未经报备不得开展。计划外确需开展的应当一事一报。不得打包报计划、执行搞拆分，不得以调研之名行督查检查考核之实，调研结果不得作为考核问责的依据。不在部门文件、领导讲话等中设定督查检查考核事项。中央和国家机关部门开展的督查检查考核事项，一般不要求地方层层配套开展。每年年初、年中，对拟实地开展的督查检查考核事项加强统筹调度优化，错开时间和地点。除应急类的安全生产、自然灾害防治外，每个省全年平均每月接受中央和国家机关部门实地督查检查考核不超过规定次数，市县乡三级接受上级实地督查检查考核次数，由省级党委参照作出规定。省市县加强对本级督查检查考核事项的计划和备案管理。</w:t>
      </w:r>
    </w:p>
    <w:p w14:paraId="2115C8C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8.改进方式方法。上级部门到地方督查检查考核调研，不得动辄要求见主要负责同志，不得频繁要求基层填表格报材料。不得将获得领导同志批示以及在刊物和媒体刊发文章信息、经验做法等作为督查检查考核内容。不把是否开会发文、拍照留痕、制作学习笔记等作为评判工作优劣的标准，不得工作刚部署就安排督查检查考核。督查检查考核原则上不召开动员会、反馈会。对督查检查考核结果，应当以适当方式进行反馈，留足整改时间。落实“三个区分开来”，统筹做好追责问责和容错纠错工作，不得以问责代替整改，未经规定程序、事实未查清之前不对干部进行追责问责，防止问责泛化、简单化。压减考核指标，压缩提供材料的文字量，突出考核重点，不层层加码，不“搭车”设置考核内容。不得随意设置“一票否决”和签订责任状事项，不得通过签订承诺书、第三方评估、满意度测评、挂牌督办等方式变相设置考核事项。不得按月度、季度频繁搞排名通报。不得以通报排名的形式变相进行考核。考核应当化繁为简，不搞“千分制”。</w:t>
      </w:r>
    </w:p>
    <w:p w14:paraId="1B2632A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9.严控对基层督查检查考核总量。省市县三级党委和政府应当合理统筹对基层的督查检查事项，不得向同一地方反复安排督查检查事项，不得就同一事项层层对同一地方开展督查检查，防止多头重复、集中扎堆。县及以下单位的所有考核事项合并开展，对县、乡、村的考核分别由市、县、乡统一组织实施，其他单位不单独开展考核。</w:t>
      </w:r>
    </w:p>
    <w:p w14:paraId="67CA1E97">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四、规范借调干部</w:t>
      </w:r>
    </w:p>
    <w:p w14:paraId="30A22100">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10.不向县及以下单位借调干部。上级机关、单位原则上不得从县及以下单位借调干部。不得以工作专班、跟班学习、交流锻炼等名义变相借调干部。</w:t>
      </w:r>
    </w:p>
    <w:p w14:paraId="2398745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11.严控向市及以上单位借调干部。上级机关、单位从市及以上单位借调干部，应当聚焦工作急需，从严控制数量。确需借调的，应当经本单位党组（党委）审批同意后，报同级党委组织部门备案。借调时间一般不超过6个月，特殊情况需要延期的，延长时间一般不超过6个月，并应当提前征得派出单位和本人同意。</w:t>
      </w:r>
    </w:p>
    <w:p w14:paraId="30673A9F">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五、规范政务移动互联网应用程序管理</w:t>
      </w:r>
    </w:p>
    <w:p w14:paraId="58FC1779">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12.清理整合面向基层的政务应用程序。中央和国家机关部门原则上最多运行1个面向基层的政务移动互联网应用程序（以下简称政务应用程序），填表报数交材料功能一般不向下延伸到县级；现有多个政务应用程序到基层的，应当逐步清理压减整合。各地区对面向县以下单位的政务应用程序进行清理整合。不得随意向基层要数据材料，需要基层填表报数交材料的，原则上应当通过省级平台报送并推动数据共享，能够通过系统自动生成或者共享获取的数据材料，不再要求基层报送、实现同类材料“最多报一次”，不得再要求重复报送纸质材料，部门不得要求另行报送。市县级政务应用程序的填表报数交材料功能，应当逐步与省级平台相应功能整合统一。</w:t>
      </w:r>
    </w:p>
    <w:p w14:paraId="6496600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13.严格建设管理。严格政务应用程序立项审核，并纳入统一技术监管，未经信息化项目审批部门批准，不得新建。行业系统已建有统一政务应用程序的，应当向地方开放相关权限，推进垂管系统与地方平台互联互通，地方不再重复建设。除安保、应急等特殊场景规定外，其他各类政务应用程序不得设置打卡签到、积分排名、统计在线时长等强制性功能。</w:t>
      </w:r>
    </w:p>
    <w:p w14:paraId="495E721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14.防止功能异化。不得强制推广下载使用政务应用程序，不得考核通报用户安装使用率，不得强制要求定期登录等。不得把政务应用程序异化为工作考核日常化、督查检查线上化的主要载体，不得将点赞量、网络投票数、转发量、学习时长等作为考评依据，非必要不得强制要求下级和基层单位通过政务应用程序上传工作照片、视频和轨迹等。</w:t>
      </w:r>
    </w:p>
    <w:p w14:paraId="33AC32D2">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六、规范明晰基层权责</w:t>
      </w:r>
    </w:p>
    <w:p w14:paraId="4435971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15.建立健全职责清单。省级党委和政府指导本地区立足实际建立健全乡镇（街道）履行职责事项清单并开展清理规范，加强清单动态管理，推动责权一致、责能一致。村（居）委会依法履行职责，不得将村（社区）作为行政执法、城市管理、招商引资等事务的责任主体。加强对“某长制”、网格员等的统筹规范，不得随意新增事项。</w:t>
      </w:r>
    </w:p>
    <w:p w14:paraId="0D297EBD">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16.完善清单外事项准入制度。未经省级党委和政府统一部署，不得将未列入清单的职责事项擅自向乡镇（街道）下放或者采取授权、委托等形式变相下放，不得随意以落实属地管理、签订责任状、分解下达指标、考核验收、制度上墙等方式将工作任务和责任转嫁乡镇（街道）、村（社区）。对已下放的事项进行清理规范，基层治理迫切需要且能有效承接的事项继续保留，同步下放相关资源；专业性技术性强、经评估无力承接的事项及时调整上收。适合通过市场化方式提供的村（社区）公共服务事项，可依法购买服务。</w:t>
      </w:r>
    </w:p>
    <w:p w14:paraId="5BB8F6E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17.规范工作机制、挂牌和证明事项。精简整合党政机关和群团组织设立的各类村（社区）工作机制，未经省级党委和政府批准，不得要求村级组织设立各类领导小组、委员会、工作站、协会等工作机构并挂牌、配备力量。省级党委和政府统一规定村（社区）挂牌数量、名称和式样，除法定挂牌外不得增加。党政机关和群团组织不得要求村（社区）出具缺乏法定依据的证明事项，原则上取消金融机构、社会组织等要求村（社区）出具的证明事项。</w:t>
      </w:r>
    </w:p>
    <w:p w14:paraId="3968560E">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18.依法依规确定基层信访工作职责。不得简单以信访数量的多少评价基层信访工作，对已经复核的信访事项和已经依法终结的涉法涉诉信访事项，不进行排名、通报、考核、问责，使基层将更多精力放到推动矛盾排查化解、维护群众合法权益上来。</w:t>
      </w:r>
    </w:p>
    <w:p w14:paraId="2C9864B8">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七、规范创建示范和达标活动</w:t>
      </w:r>
    </w:p>
    <w:p w14:paraId="4AADFA31">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19.精简种类数量。大幅减少各种创建示范和达标活动，未经批准不得新增创建示范和达标活动以及“城市”、“之乡”、“基地”等授牌命名活动。市县级党政机关和群团组织以及乡镇（街道）不开展创建示范活动。不搞创建结果排名。</w:t>
      </w:r>
    </w:p>
    <w:p w14:paraId="1BFA4EBA">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20.注重创建示范实效。创建示范活动不得脱离地方资源禀赋条件和产业发展实际，不得搞“运动式”、“作秀式”、“一阵风”，不对氛围营造提要求，不影响群众正常生产生活。参与创建示范活动的单位应当坚持节俭办事，杜绝浪费，不得举债搞创建。创建示范活动不得收取费用，不得以搞合作、拉赞助等方式变相收取费用。</w:t>
      </w:r>
    </w:p>
    <w:p w14:paraId="2E32F7D6">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21.在基层不搞达标活动。各级党政机关以及群团组织、国有企事业单位、社会组织等不得开展以乡镇（街道）、村（社区）、学校为对象的达标活动。对现有的达标活动进行清理，已经开展的期满后自行取消。</w:t>
      </w:r>
    </w:p>
    <w:p w14:paraId="3B2FDA1C">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各地区各部门应当严格执行本规定，建立整治形式主义为基层减负专项工作机制，党委（党组）切实履行主体责任，党委（党组）书记带头执行并抓好贯彻落实，及时纠治本地区本部门存在的突出问题。中央和国家机关各部门应当带头落实。本规定的贯彻落实情况作为巡视巡察、新闻舆论监督等的重要内容。对违反本规定的追责问责，对典型问题予以公开通报。</w:t>
      </w:r>
    </w:p>
    <w:p w14:paraId="6D1E76E3">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default" w:ascii="仿宋" w:hAnsi="仿宋" w:eastAsia="仿宋" w:cs="仿宋"/>
          <w:b w:val="0"/>
          <w:bCs w:val="0"/>
          <w:color w:val="262626"/>
          <w:spacing w:val="17"/>
          <w:sz w:val="31"/>
          <w:szCs w:val="31"/>
          <w:lang w:val="en-US" w:eastAsia="zh-CN"/>
        </w:rPr>
      </w:pPr>
      <w:r>
        <w:rPr>
          <w:rFonts w:hint="default" w:ascii="仿宋" w:hAnsi="仿宋" w:eastAsia="仿宋" w:cs="仿宋"/>
          <w:b w:val="0"/>
          <w:bCs w:val="0"/>
          <w:color w:val="262626"/>
          <w:spacing w:val="17"/>
          <w:sz w:val="31"/>
          <w:szCs w:val="31"/>
          <w:lang w:val="en-US" w:eastAsia="zh-CN"/>
        </w:rPr>
        <w:t>本规定由中央办公厅负责解释，自发布之日起施行。此前发布的有关规定，凡与本规定不一致的，按照本规定执行。</w:t>
      </w:r>
    </w:p>
    <w:p w14:paraId="427A1E5B">
      <w:pPr>
        <w:keepNext w:val="0"/>
        <w:keepLines w:val="0"/>
        <w:pageBreakBefore w:val="0"/>
        <w:widowControl/>
        <w:kinsoku/>
        <w:wordWrap/>
        <w:overflowPunct w:val="0"/>
        <w:topLinePunct w:val="0"/>
        <w:autoSpaceDE w:val="0"/>
        <w:autoSpaceDN w:val="0"/>
        <w:bidi w:val="0"/>
        <w:adjustRightInd w:val="0"/>
        <w:snapToGrid w:val="0"/>
        <w:spacing w:line="360" w:lineRule="auto"/>
        <w:ind w:left="0" w:right="0" w:firstLine="688" w:firstLineChars="200"/>
        <w:jc w:val="both"/>
        <w:textAlignment w:val="baseline"/>
        <w:rPr>
          <w:rFonts w:hint="eastAsia" w:ascii="仿宋" w:hAnsi="仿宋" w:eastAsia="仿宋" w:cs="仿宋"/>
          <w:b w:val="0"/>
          <w:bCs w:val="0"/>
          <w:color w:val="262626"/>
          <w:spacing w:val="17"/>
          <w:sz w:val="31"/>
          <w:szCs w:val="31"/>
          <w:lang w:val="en-US" w:eastAsia="zh-CN"/>
        </w:rPr>
      </w:pPr>
      <w:bookmarkStart w:id="12" w:name="_GoBack"/>
      <w:bookmarkEnd w:id="12"/>
    </w:p>
    <w:sectPr>
      <w:footerReference r:id="rId5" w:type="default"/>
      <w:pgSz w:w="11907" w:h="16839"/>
      <w:pgMar w:top="1431" w:right="1482" w:bottom="1402" w:left="1521" w:header="0" w:footer="1201" w:gutter="0"/>
      <w:pgNumType w:fmt="decimal"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pingfangsc-medium">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PingFangSC-Regular">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33EF4">
    <w:pPr>
      <w:spacing w:line="220" w:lineRule="auto"/>
      <w:ind w:left="436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0E36E2">
                          <w:pPr>
                            <w:pStyle w:val="4"/>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40E36E2">
                    <w:pPr>
                      <w:pStyle w:val="4"/>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09405A9"/>
    <w:rsid w:val="047223C8"/>
    <w:rsid w:val="06F102D3"/>
    <w:rsid w:val="07346FB6"/>
    <w:rsid w:val="08C97472"/>
    <w:rsid w:val="10243681"/>
    <w:rsid w:val="125712C6"/>
    <w:rsid w:val="12CB20B3"/>
    <w:rsid w:val="13BF09EE"/>
    <w:rsid w:val="155F79D7"/>
    <w:rsid w:val="1663076D"/>
    <w:rsid w:val="181F53A8"/>
    <w:rsid w:val="18E1341B"/>
    <w:rsid w:val="1DC4604E"/>
    <w:rsid w:val="1E9B6843"/>
    <w:rsid w:val="1F4C7E66"/>
    <w:rsid w:val="20774009"/>
    <w:rsid w:val="2B6D7ACB"/>
    <w:rsid w:val="2C772889"/>
    <w:rsid w:val="30CA4CB3"/>
    <w:rsid w:val="343A12B1"/>
    <w:rsid w:val="3A585A70"/>
    <w:rsid w:val="3C3A4DDB"/>
    <w:rsid w:val="438E56E3"/>
    <w:rsid w:val="44DA543B"/>
    <w:rsid w:val="47C44F56"/>
    <w:rsid w:val="49567D19"/>
    <w:rsid w:val="4DC07F2D"/>
    <w:rsid w:val="4F8A149D"/>
    <w:rsid w:val="51735001"/>
    <w:rsid w:val="53026A36"/>
    <w:rsid w:val="54AF500F"/>
    <w:rsid w:val="58064B79"/>
    <w:rsid w:val="5A3E3CD2"/>
    <w:rsid w:val="5C61531C"/>
    <w:rsid w:val="5D356E68"/>
    <w:rsid w:val="5FD81F33"/>
    <w:rsid w:val="62004FA2"/>
    <w:rsid w:val="63161C90"/>
    <w:rsid w:val="64A96A2B"/>
    <w:rsid w:val="68AB5573"/>
    <w:rsid w:val="6B6D21C1"/>
    <w:rsid w:val="70E41AFF"/>
    <w:rsid w:val="72962B51"/>
    <w:rsid w:val="76622145"/>
    <w:rsid w:val="7A6013FE"/>
    <w:rsid w:val="7D8522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link w:val="13"/>
    <w:qFormat/>
    <w:uiPriority w:val="0"/>
    <w:pPr>
      <w:keepNext/>
      <w:keepLines/>
      <w:spacing w:beforeLines="0" w:beforeAutospacing="0" w:afterLines="0" w:afterAutospacing="0" w:line="360" w:lineRule="auto"/>
      <w:jc w:val="center"/>
      <w:outlineLvl w:val="0"/>
    </w:pPr>
    <w:rPr>
      <w:rFonts w:ascii="Arial" w:hAnsi="Arial" w:eastAsia="微软雅黑"/>
      <w:b/>
      <w:kern w:val="44"/>
      <w:sz w:val="36"/>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微软雅黑" w:hAnsi="微软雅黑" w:eastAsia="微软雅黑" w:cs="微软雅黑"/>
      <w:sz w:val="88"/>
      <w:szCs w:val="88"/>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0">
    <w:name w:val="Strong"/>
    <w:basedOn w:val="9"/>
    <w:qFormat/>
    <w:uiPriority w:val="0"/>
    <w:rPr>
      <w:b/>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WPSOffice手动目录 1"/>
    <w:qFormat/>
    <w:uiPriority w:val="0"/>
    <w:pPr>
      <w:ind w:leftChars="0"/>
    </w:pPr>
    <w:rPr>
      <w:rFonts w:ascii="Arial" w:hAnsi="Arial" w:eastAsia="Arial" w:cs="Arial"/>
      <w:sz w:val="20"/>
      <w:szCs w:val="20"/>
    </w:rPr>
  </w:style>
  <w:style w:type="character" w:customStyle="1" w:styleId="13">
    <w:name w:val="标题 1 Char"/>
    <w:link w:val="2"/>
    <w:qFormat/>
    <w:uiPriority w:val="0"/>
    <w:rPr>
      <w:rFonts w:ascii="Arial" w:hAnsi="Arial" w:eastAsia="微软雅黑"/>
      <w:b/>
      <w:kern w:val="44"/>
      <w:sz w:val="3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55</Pages>
  <Words>15316</Words>
  <Characters>15512</Characters>
  <TotalTime>251</TotalTime>
  <ScaleCrop>false</ScaleCrop>
  <LinksUpToDate>false</LinksUpToDate>
  <CharactersWithSpaces>15637</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2024-01-18T16:14:00Z</dcterms:created>
  <dc:creator>Administrator</dc:creator>
  <cp:lastModifiedBy>张师宁</cp:lastModifiedBy>
  <cp:lastPrinted>2026-03-20T06:50:00Z</cp:lastPrinted>
  <dcterms:modified xsi:type="dcterms:W3CDTF">2026-07-23T09:49:33Z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2025-03-13T16:10:59Z</vt:filetime>
  </property>
  <property fmtid="{D5CDD505-2E9C-101B-9397-08002B2CF9AE}" pid="4" name="KSOTemplateDocerSaveRecord">
    <vt:lpwstr>eyJoZGlkIjoiYjQ0OGVmNzc3ZDcyNzQ3NjE5MGQxYzFmZTBmZTVkMjYiLCJ1c2VySWQiOiIxODU2NzU0Nzg0In0=</vt:lpwstr>
  </property>
  <property fmtid="{D5CDD505-2E9C-101B-9397-08002B2CF9AE}" pid="5" name="KSOProductBuildVer">
    <vt:lpwstr>2052-12.1.0.26895</vt:lpwstr>
  </property>
  <property fmtid="{D5CDD505-2E9C-101B-9397-08002B2CF9AE}" pid="6" name="ICV">
    <vt:lpwstr>037D18801257452AA21478BF3CF5556F_13</vt:lpwstr>
  </property>
</Properties>
</file>